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00BC5" w:rsidRDefault="00EC4197" w:rsidP="00EC4197">
      <w:pPr>
        <w:pStyle w:val="Cmsor3"/>
      </w:pPr>
      <w:r w:rsidRPr="00A00BC5">
        <w:t>K I V O N A T</w:t>
      </w:r>
    </w:p>
    <w:p w:rsidR="00EC4197" w:rsidRPr="00A00BC5" w:rsidRDefault="00EC4197" w:rsidP="00EC4197"/>
    <w:p w:rsidR="00EC4197" w:rsidRPr="00A00BC5" w:rsidRDefault="00EC4197" w:rsidP="009F278E">
      <w:pPr>
        <w:jc w:val="both"/>
      </w:pPr>
      <w:r w:rsidRPr="00A00BC5">
        <w:t xml:space="preserve">Békés Megye Képviselő-testületének Békéscsabán, a Megyeházán (Békéscsaba, Derkovits sor 2.) 2010. február 19-én tartott </w:t>
      </w:r>
      <w:r w:rsidR="00DD54DF" w:rsidRPr="00A00BC5">
        <w:t>nyílt</w:t>
      </w:r>
      <w:r w:rsidRPr="00A00BC5">
        <w:t xml:space="preserve"> ülése jegyzőkönyvéből</w:t>
      </w:r>
      <w:r w:rsidR="00830D8B" w:rsidRPr="00A00BC5">
        <w:t>.</w:t>
      </w:r>
    </w:p>
    <w:p w:rsidR="00A00BC5" w:rsidRDefault="00A00BC5" w:rsidP="00A00BC5">
      <w:pPr>
        <w:ind w:left="993" w:hanging="993"/>
        <w:jc w:val="both"/>
        <w:rPr>
          <w:b/>
          <w:u w:val="single"/>
        </w:rPr>
      </w:pPr>
    </w:p>
    <w:p w:rsidR="00DD54DF" w:rsidRPr="00A00BC5" w:rsidRDefault="00EC4197" w:rsidP="00A00BC5">
      <w:pPr>
        <w:ind w:left="993" w:hanging="993"/>
        <w:jc w:val="both"/>
        <w:rPr>
          <w:b/>
        </w:rPr>
      </w:pPr>
      <w:r w:rsidRPr="00A00BC5">
        <w:rPr>
          <w:b/>
          <w:u w:val="single"/>
        </w:rPr>
        <w:t>Tárgy:</w:t>
      </w:r>
      <w:r w:rsidRPr="00A00BC5">
        <w:rPr>
          <w:b/>
        </w:rPr>
        <w:t xml:space="preserve"> </w:t>
      </w:r>
      <w:r w:rsidR="00333A0F" w:rsidRPr="00A00BC5">
        <w:rPr>
          <w:b/>
        </w:rPr>
        <w:tab/>
      </w:r>
      <w:r w:rsidR="00A00BC5" w:rsidRPr="00A00BC5">
        <w:rPr>
          <w:b/>
        </w:rPr>
        <w:t>Ügyrend módosítása</w:t>
      </w:r>
    </w:p>
    <w:p w:rsidR="00DD54DF" w:rsidRPr="00A00BC5" w:rsidRDefault="00DD54DF" w:rsidP="00DD54DF">
      <w:pPr>
        <w:tabs>
          <w:tab w:val="left" w:pos="1134"/>
        </w:tabs>
      </w:pPr>
    </w:p>
    <w:p w:rsidR="00EC4197" w:rsidRPr="00A00BC5" w:rsidRDefault="004B6F82" w:rsidP="00EC4197">
      <w:pPr>
        <w:jc w:val="both"/>
        <w:rPr>
          <w:b/>
          <w:bCs/>
          <w:color w:val="000000"/>
        </w:rPr>
      </w:pPr>
      <w:r w:rsidRPr="00A00BC5">
        <w:rPr>
          <w:b/>
          <w:bCs/>
          <w:color w:val="000000"/>
        </w:rPr>
        <w:t>A Képviselő-testület  2</w:t>
      </w:r>
      <w:r w:rsidR="00DD54DF" w:rsidRPr="00A00BC5">
        <w:rPr>
          <w:b/>
          <w:bCs/>
          <w:color w:val="000000"/>
        </w:rPr>
        <w:t>9</w:t>
      </w:r>
      <w:r w:rsidR="00EC4197" w:rsidRPr="00A00BC5">
        <w:rPr>
          <w:b/>
          <w:bCs/>
          <w:color w:val="000000"/>
        </w:rPr>
        <w:t xml:space="preserve"> igen szavazattal – </w:t>
      </w:r>
      <w:r w:rsidR="00DD54DF" w:rsidRPr="00A00BC5">
        <w:rPr>
          <w:b/>
          <w:bCs/>
          <w:color w:val="000000"/>
        </w:rPr>
        <w:t>egyhangúlag</w:t>
      </w:r>
      <w:r w:rsidR="00EC4197" w:rsidRPr="00A00BC5">
        <w:rPr>
          <w:b/>
          <w:bCs/>
          <w:color w:val="000000"/>
        </w:rPr>
        <w:t xml:space="preserve"> - az alábbi határozatot hozta:</w:t>
      </w:r>
    </w:p>
    <w:p w:rsidR="00EC4197" w:rsidRPr="00A00BC5" w:rsidRDefault="00EC4197" w:rsidP="00EC4197">
      <w:pPr>
        <w:jc w:val="both"/>
        <w:rPr>
          <w:b/>
          <w:bCs/>
          <w:color w:val="000000"/>
        </w:rPr>
      </w:pPr>
    </w:p>
    <w:p w:rsidR="00EC4197" w:rsidRPr="00A00BC5" w:rsidRDefault="00EC4197" w:rsidP="00EC4197">
      <w:pPr>
        <w:pStyle w:val="Cmsor2"/>
        <w:rPr>
          <w:szCs w:val="24"/>
        </w:rPr>
      </w:pPr>
      <w:r w:rsidRPr="00A00BC5">
        <w:rPr>
          <w:szCs w:val="24"/>
        </w:rPr>
        <w:t>H A T Á R O Z A T</w:t>
      </w:r>
    </w:p>
    <w:p w:rsidR="00EC4197" w:rsidRPr="00A00BC5" w:rsidRDefault="00DD54DF" w:rsidP="00EC4197">
      <w:pPr>
        <w:rPr>
          <w:b/>
          <w:bCs/>
        </w:rPr>
      </w:pPr>
      <w:r w:rsidRPr="00A00BC5">
        <w:rPr>
          <w:b/>
          <w:bCs/>
        </w:rPr>
        <w:t>5</w:t>
      </w:r>
      <w:r w:rsidR="00A00BC5" w:rsidRPr="00A00BC5">
        <w:rPr>
          <w:b/>
          <w:bCs/>
        </w:rPr>
        <w:t>2</w:t>
      </w:r>
      <w:r w:rsidR="004B6F82" w:rsidRPr="00A00BC5">
        <w:rPr>
          <w:b/>
          <w:bCs/>
        </w:rPr>
        <w:t>/2010. (</w:t>
      </w:r>
      <w:r w:rsidR="00EC4197" w:rsidRPr="00A00BC5">
        <w:rPr>
          <w:b/>
          <w:bCs/>
        </w:rPr>
        <w:t>II. 1</w:t>
      </w:r>
      <w:r w:rsidR="004B6F82" w:rsidRPr="00A00BC5">
        <w:rPr>
          <w:b/>
          <w:bCs/>
        </w:rPr>
        <w:t>9</w:t>
      </w:r>
      <w:r w:rsidR="00EC4197" w:rsidRPr="00A00BC5">
        <w:rPr>
          <w:b/>
          <w:bCs/>
        </w:rPr>
        <w:t>.) KT. sz. hat.</w:t>
      </w:r>
    </w:p>
    <w:p w:rsidR="00DD54DF" w:rsidRPr="00A00BC5" w:rsidRDefault="00DD54DF" w:rsidP="00EC4197">
      <w:pPr>
        <w:rPr>
          <w:b/>
          <w:bCs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Békés Megye Képviselő – testülete a Békés Megye Képviselő-testülete Önkormányzati Hivatalának a többször módosított és kiegészített 186/1993.(XI. 26.) KT. számú határozattal megállapított Ügyrendjének módosítását (továbbiakban: ÜR.) az alábbiak szerint fogadja 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</w:pPr>
    </w:p>
    <w:p w:rsidR="00A00BC5" w:rsidRPr="00A00BC5" w:rsidRDefault="00A00BC5" w:rsidP="00A00BC5">
      <w:pPr>
        <w:pStyle w:val="Szvegtrzs"/>
        <w:tabs>
          <w:tab w:val="left" w:pos="0"/>
          <w:tab w:val="center" w:pos="4536"/>
        </w:tabs>
        <w:rPr>
          <w:szCs w:val="24"/>
        </w:rPr>
      </w:pPr>
      <w:r w:rsidRPr="00A00BC5">
        <w:rPr>
          <w:szCs w:val="24"/>
        </w:rPr>
        <w:t>Az ÜR. II. rész 6. pontja „ A bélyegzők leírása, használata”, az alábbi h) ponttal egészül ki: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pStyle w:val="Szvegtrzs"/>
        <w:rPr>
          <w:szCs w:val="24"/>
        </w:rPr>
      </w:pPr>
      <w:r w:rsidRPr="00A00BC5">
        <w:rPr>
          <w:szCs w:val="24"/>
        </w:rPr>
        <w:t xml:space="preserve">„h) Az elnök, az alelnök és az osztályvezetők névbélyegzőt is használhatnak. Gazdálkodási és ellenőrzési jellegű vagy ilyen kihatású ügyekben a kiadmányozási, a kötelezettségvállalási, az utalványozási, az ellenjegyzési és az érvényesítési jog gyakorlása, valamint a szakmai teljesítési igazolás során, továbbá bármilyen joghatást kiváltó ügyben névbélyegző nem használható. Névbélyegző az ügyintézés megkönnyítése érdekében, különösen tájékoztatási, szervezési ügykörökben használható aláírásként.” </w:t>
      </w:r>
    </w:p>
    <w:p w:rsidR="00A00BC5" w:rsidRPr="00A00BC5" w:rsidRDefault="00A00BC5" w:rsidP="00A00BC5">
      <w:pPr>
        <w:pStyle w:val="Szvegtrzs"/>
        <w:rPr>
          <w:szCs w:val="24"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2.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IV. rész 1. pontjának utolsó mondata helyébe az alábbi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 xml:space="preserve"> 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„Az osztályok az alábbiak szerint biztosítják a bizottságok, valamint a Képviselő-testület bizottságnak nem minősülő szerveinek működési feltételeit és gondoskodnak a bizottsági (szervezeti) titkári és szakmai feladatok ellátásáról.”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b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3.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b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IV. rész 1/a. pontjának utolsó szakasza helyébe az alábbi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b/>
        </w:rPr>
      </w:pPr>
      <w:r w:rsidRPr="00A00BC5">
        <w:t>„Előkészítő Munkacsoport összeállításának előkészítése (közbeszerzés)”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  <w:bCs/>
        </w:rPr>
      </w:pPr>
      <w:r w:rsidRPr="00A00BC5">
        <w:rPr>
          <w:b/>
          <w:bCs/>
        </w:rPr>
        <w:t>4.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  <w:bCs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IV. rész 1/a. pontja kiegészül az alábbi rendelkezésekkel: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„-Művelődési, Oktatási, Sport Bizottság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 xml:space="preserve"> -Szociális és Egészségügyi Bizottság”</w:t>
      </w:r>
    </w:p>
    <w:p w:rsidR="00A00BC5" w:rsidRPr="00A00BC5" w:rsidRDefault="00A00BC5" w:rsidP="00A00BC5">
      <w:r w:rsidRPr="00A00BC5">
        <w:t>-Mezőgazdasági és Vidékfejlesztési Bizottság titkári feladatának ellátása”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5.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IV. rész 1/b. pontja kiegészül az alábbi rendelkezésekkel: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r w:rsidRPr="00A00BC5">
        <w:lastRenderedPageBreak/>
        <w:t>„-Művelődési, Oktatási, Sport Bizottság (működési feltétel szakmai feladatai)</w:t>
      </w:r>
    </w:p>
    <w:p w:rsidR="00A00BC5" w:rsidRPr="00A00BC5" w:rsidRDefault="00A00BC5" w:rsidP="00A00BC5">
      <w:r w:rsidRPr="00A00BC5">
        <w:t>-Szociális és Egészségügyi Bizottság (működési feltétel szakmai feladatai)</w:t>
      </w:r>
    </w:p>
    <w:p w:rsidR="00A00BC5" w:rsidRPr="00A00BC5" w:rsidRDefault="00A00BC5" w:rsidP="00A00BC5">
      <w:r w:rsidRPr="00A00BC5">
        <w:t>-Nemzeti és Etnika, kisebbségi, Vallásügyi, Ifjúsági Bizottság titkári feladatok és a működési feltétel szakmai feladatai.”</w:t>
      </w: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t>6.</w:t>
      </w:r>
    </w:p>
    <w:p w:rsidR="00A00BC5" w:rsidRPr="00A00BC5" w:rsidRDefault="00A00BC5" w:rsidP="00A00BC5">
      <w:pPr>
        <w:ind w:left="360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IV. rész 1/d. pont második alpontja ”- Mezőgazdasági és Vidékfejlesztési Bizottság”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r w:rsidRPr="00A00BC5">
        <w:rPr>
          <w:u w:val="single"/>
        </w:rPr>
        <w:t>„</w:t>
      </w:r>
      <w:r w:rsidRPr="00A00BC5">
        <w:t>Mezőgazdasági és Vidékfejlesztési Bizottság szakmai feladatok ellátása”</w:t>
      </w:r>
    </w:p>
    <w:p w:rsidR="00A00BC5" w:rsidRPr="00A00BC5" w:rsidRDefault="00A00BC5" w:rsidP="00A00BC5"/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t>7.</w:t>
      </w:r>
    </w:p>
    <w:p w:rsidR="00A00BC5" w:rsidRPr="00A00BC5" w:rsidRDefault="00A00BC5" w:rsidP="00A00BC5">
      <w:pPr>
        <w:jc w:val="center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V. rész 2. pont „Szakfeladatokhoz kapcsolódó feladatok, Oktatásügy” alpontjának rendelkezései helyébe a következő rendelkezések lépnek: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ind w:left="708"/>
        <w:jc w:val="both"/>
      </w:pPr>
      <w:r w:rsidRPr="00A00BC5">
        <w:t>„- Kollégiumi és a nemzeti és etnikai kisebbségi kollégiumi ellátás és oktatás, középiskolai és szakiskolai oktatás, alapfokú művészeti oktatás megyei feladatai ellátásának előkészítése, döntés-előkészítés, szakmai felügyelet, elemzés, koordinálás.</w:t>
      </w:r>
    </w:p>
    <w:p w:rsidR="00A00BC5" w:rsidRPr="00A00BC5" w:rsidRDefault="00A00BC5" w:rsidP="00A00BC5">
      <w:pPr>
        <w:ind w:left="708"/>
        <w:jc w:val="both"/>
      </w:pPr>
      <w:r w:rsidRPr="00A00BC5">
        <w:t>- Előkészíti a közoktatási feladatok szervezéséhez szükséges feladatellátási-, működtetési és fejlesztési tervet, elvégzi a szükséges egyeztetéseket.</w:t>
      </w:r>
    </w:p>
    <w:p w:rsidR="00A00BC5" w:rsidRPr="00A00BC5" w:rsidRDefault="00A00BC5" w:rsidP="00A00BC5">
      <w:pPr>
        <w:ind w:left="708"/>
        <w:jc w:val="both"/>
      </w:pPr>
      <w:r w:rsidRPr="00A00BC5">
        <w:t>- Előkészíti az önkormányzati intézményrendszer működésének minőségirányítási programját.</w:t>
      </w:r>
    </w:p>
    <w:p w:rsidR="00A00BC5" w:rsidRPr="00A00BC5" w:rsidRDefault="00A00BC5" w:rsidP="00A00BC5">
      <w:pPr>
        <w:ind w:firstLine="708"/>
        <w:jc w:val="both"/>
      </w:pPr>
      <w:r w:rsidRPr="00A00BC5">
        <w:t>- Segíti a nemzeti és etnikai kisebbségi oktatással kapcsolatos feladatok ellátását.</w:t>
      </w:r>
    </w:p>
    <w:p w:rsidR="00A00BC5" w:rsidRPr="00A00BC5" w:rsidRDefault="00A00BC5" w:rsidP="00A00BC5">
      <w:pPr>
        <w:ind w:left="708"/>
        <w:jc w:val="both"/>
      </w:pPr>
      <w:r w:rsidRPr="00A00BC5">
        <w:t>- Közreműködik a középfokú oktatási intézmények képzési profiljának munkaerőpiaci meghatározásában, együttműködve az érintett szervezetekkel.</w:t>
      </w:r>
    </w:p>
    <w:p w:rsidR="00A00BC5" w:rsidRPr="00A00BC5" w:rsidRDefault="00A00BC5" w:rsidP="00A00BC5">
      <w:pPr>
        <w:ind w:left="705"/>
        <w:jc w:val="both"/>
      </w:pPr>
      <w:r w:rsidRPr="00A00BC5">
        <w:t>- Irattározásra előkészíti a szakmai vizsgák bejelentését, a vizsgák, érettségi vizsgák törzslapjait.</w:t>
      </w:r>
    </w:p>
    <w:p w:rsidR="00A00BC5" w:rsidRPr="00A00BC5" w:rsidRDefault="00A00BC5" w:rsidP="00A00BC5">
      <w:pPr>
        <w:ind w:left="708"/>
        <w:jc w:val="both"/>
      </w:pPr>
      <w:r w:rsidRPr="00A00BC5">
        <w:t>-  Közreműködik és előkészíti a Képviselő-testület távlati és fejlesztési terveinek az ágazatra vonatkozó szabályait, szakmai javaslatokat készít, gondoskodik a szakmai javaslatok, a szakértői vélemények és észrevételek kialakításáról.</w:t>
      </w:r>
    </w:p>
    <w:p w:rsidR="00A00BC5" w:rsidRPr="00A00BC5" w:rsidRDefault="00A00BC5" w:rsidP="00A00BC5">
      <w:pPr>
        <w:ind w:left="708"/>
      </w:pPr>
      <w:r w:rsidRPr="00A00BC5">
        <w:t>-  Beszámolókat és elemzéseket készít a közoktatási-nevelési terület munkájáról.</w:t>
      </w:r>
    </w:p>
    <w:p w:rsidR="00A00BC5" w:rsidRPr="00A00BC5" w:rsidRDefault="00A00BC5" w:rsidP="00A00BC5">
      <w:pPr>
        <w:ind w:left="708"/>
        <w:jc w:val="both"/>
      </w:pPr>
      <w:r w:rsidRPr="00A00BC5">
        <w:t>-  Koordinál, szükség esetén kapcsolatot tart az országos hatáskörű szakmai szervekkel, szervezetekkel és azok megyei kirendeltségeivel.</w:t>
      </w:r>
    </w:p>
    <w:p w:rsidR="00A00BC5" w:rsidRPr="00A00BC5" w:rsidRDefault="00A00BC5" w:rsidP="00A00BC5">
      <w:pPr>
        <w:ind w:left="708"/>
      </w:pPr>
      <w:r w:rsidRPr="00A00BC5">
        <w:t>-  Oktatási témájú pályázatok figyelése, koordinálása.</w:t>
      </w:r>
    </w:p>
    <w:p w:rsidR="00A00BC5" w:rsidRPr="00A00BC5" w:rsidRDefault="00A00BC5" w:rsidP="00A00BC5">
      <w:pPr>
        <w:ind w:left="708"/>
        <w:jc w:val="both"/>
      </w:pPr>
      <w:r w:rsidRPr="00A00BC5">
        <w:t>-  Művelődési, Oktatási, Sport Bizottság szakmai munkaanyagainak előkészítése.</w:t>
      </w:r>
    </w:p>
    <w:p w:rsidR="00A00BC5" w:rsidRPr="00A00BC5" w:rsidRDefault="00A00BC5" w:rsidP="00A00BC5">
      <w:pPr>
        <w:ind w:firstLine="708"/>
      </w:pPr>
      <w:r w:rsidRPr="00A00BC5">
        <w:t>-  Térségi Integrált Szakképző Központ szakmai működésének koordinálása.</w:t>
      </w:r>
    </w:p>
    <w:p w:rsidR="00A00BC5" w:rsidRPr="00A00BC5" w:rsidRDefault="00A00BC5" w:rsidP="00A00BC5">
      <w:pPr>
        <w:ind w:left="708"/>
        <w:jc w:val="both"/>
      </w:pPr>
      <w:r w:rsidRPr="00A00BC5">
        <w:t>-  A Térségi Integrált Szakképző Központ működésével kapcsolatos adatszolgáltatások.”</w:t>
      </w:r>
    </w:p>
    <w:p w:rsidR="00A00BC5" w:rsidRPr="00A00BC5" w:rsidRDefault="00A00BC5" w:rsidP="00A00BC5"/>
    <w:p w:rsidR="00A00BC5" w:rsidRPr="00A00BC5" w:rsidRDefault="00A00BC5" w:rsidP="00A00BC5"/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8.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V. rész 2. pontja „Szakmai Felügyeleti Osztály” főcímhez tartozó rendelkezések kiegészülnek az alábbi rendelkezésekkel: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„A közművelődési, közgyűjteményi, művészeti feladatok és projektek szakmai felügyelete, elemzése, tervezése, koordinálása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Szervezi a társadalmi kapcsolatokat, az ifjúsági, idősügyi, kisebbségi, civil és sportügyeket.</w:t>
      </w:r>
    </w:p>
    <w:p w:rsidR="00A00BC5" w:rsidRPr="00A00BC5" w:rsidRDefault="00A00BC5" w:rsidP="00A00BC5">
      <w:pPr>
        <w:numPr>
          <w:ilvl w:val="0"/>
          <w:numId w:val="19"/>
        </w:numPr>
        <w:jc w:val="both"/>
        <w:rPr>
          <w:u w:val="single"/>
        </w:rPr>
      </w:pPr>
      <w:r w:rsidRPr="00A00BC5">
        <w:t>Szakmailag előkészíti és szakmailag koordinálja a megyei önkormányzat által kiírt pályázatot.”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lastRenderedPageBreak/>
        <w:t>9.</w:t>
      </w:r>
    </w:p>
    <w:p w:rsidR="00A00BC5" w:rsidRPr="00A00BC5" w:rsidRDefault="00A00BC5" w:rsidP="00A00BC5">
      <w:pPr>
        <w:jc w:val="center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V. rész 2. pontja „Szakmai Felügyeleti Osztály” főcímhez tartozó rendelkezés utolsó szakaszának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„Művelődési, Oktatási, Sport Bizottság, a Szociális és Egészségügyi Bizottság, a Nemzeti és Etnikai Kisebbségi, Vallásügyi, Ifjúsági Bizottság működési feltételeinek szakmai feladatainak, valamint a Nemzeti és Etnikai Kisebbségi, Vallásügyi, Ifjúsági Bizottság titkári feladatainak ellátása.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10.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V. rész 2. pont „Szakmai Felügyeleti Osztály” főcímhez tartozó „Szakfeladathoz kapcsolódó feladatok, Közművelődési, közgyűjteményi, művészeti ügyek” alpontja kiegészül az alábbi rendelkezésekkel: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u w:val="single"/>
        </w:rPr>
      </w:pPr>
    </w:p>
    <w:p w:rsidR="00A00BC5" w:rsidRPr="00A00BC5" w:rsidRDefault="00A00BC5" w:rsidP="00A00BC5">
      <w:pPr>
        <w:ind w:left="1416" w:hanging="696"/>
        <w:jc w:val="both"/>
      </w:pPr>
      <w:r w:rsidRPr="00A00BC5">
        <w:t>„-</w:t>
      </w:r>
      <w:r w:rsidRPr="00A00BC5">
        <w:tab/>
        <w:t xml:space="preserve"> Kulturális tevékenységek fejlesztése szervezésében, koordinálásában szükség szerinti részvétel, a megyei fenntartású kulturális intézményhálózattal összefüggő témák vitele. </w:t>
      </w:r>
    </w:p>
    <w:p w:rsidR="00A00BC5" w:rsidRPr="00A00BC5" w:rsidRDefault="00A00BC5" w:rsidP="00A00BC5">
      <w:pPr>
        <w:ind w:left="705" w:firstLine="3"/>
        <w:jc w:val="both"/>
      </w:pPr>
      <w:r w:rsidRPr="00A00BC5">
        <w:t xml:space="preserve">- </w:t>
      </w:r>
      <w:r w:rsidRPr="00A00BC5">
        <w:tab/>
        <w:t>A kulturális szervezetekkel való kapcsolattartás.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A megyei közművelődési-, közgyűjteményi-, művészeti irányú elemzések készítése.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Közművelődési-, közgyűjteményi-, művészeti szakterülethez kapcsolódó jogszabályi módosítási javaslatok előzetes véleményezése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Fenntartói hatáskörbe tartozó, a kulturális intézményekkel kapcsolatos ügyek vitele.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Szakmai kapcsolattartás a megyei civil szervezetekkel.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A megyei nagy rendezvények szervezésével összefüggő koordinációs tevékenységben való részvétel.”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t>11.</w:t>
      </w:r>
    </w:p>
    <w:p w:rsidR="00A00BC5" w:rsidRPr="00A00BC5" w:rsidRDefault="00A00BC5" w:rsidP="00A00BC5">
      <w:pPr>
        <w:jc w:val="center"/>
        <w:rPr>
          <w:b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ind w:left="360" w:hanging="360"/>
        <w:jc w:val="both"/>
      </w:pPr>
      <w:r w:rsidRPr="00A00BC5">
        <w:t>(1) Az ÜR. V. rész 2. pont „Szakmai Felügyeleti Osztály” főcímhez tartozó „Szakfeladathoz kapcsolódó feladatok, Társadalmi kapcsolatok szervezése” alpontjának második és ötödik szakaszát hatályon kívül helyezi.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rPr>
          <w:b/>
          <w:bCs/>
        </w:rPr>
      </w:pPr>
    </w:p>
    <w:p w:rsidR="00A00BC5" w:rsidRPr="00A00BC5" w:rsidRDefault="00A00BC5" w:rsidP="00A00BC5">
      <w:pPr>
        <w:pStyle w:val="Szvegtrzs3"/>
        <w:tabs>
          <w:tab w:val="left" w:pos="0"/>
          <w:tab w:val="center" w:pos="4536"/>
        </w:tabs>
        <w:ind w:left="360" w:hanging="360"/>
        <w:rPr>
          <w:b/>
          <w:bCs/>
          <w:sz w:val="24"/>
          <w:szCs w:val="24"/>
        </w:rPr>
      </w:pPr>
      <w:r w:rsidRPr="00A00BC5">
        <w:rPr>
          <w:sz w:val="24"/>
          <w:szCs w:val="24"/>
        </w:rPr>
        <w:t>(2) Az ÜR. V. rész 2. pont „Szakmai Felügyeleti Osztály” főcímhez tartozó „Szakfeladathoz kapcsolódó feladatok, Társadalmi kapcsolatok szervezése” alpontja negyedik szakaszának „a Megyei Fogyatékosügyi Programot,” megnevezését hatályon kívül helyezi.</w:t>
      </w:r>
    </w:p>
    <w:p w:rsidR="00A00BC5" w:rsidRPr="00A00BC5" w:rsidRDefault="00A00BC5" w:rsidP="00A00BC5">
      <w:pPr>
        <w:jc w:val="center"/>
        <w:rPr>
          <w:b/>
        </w:rPr>
      </w:pPr>
    </w:p>
    <w:p w:rsidR="00A00BC5" w:rsidRPr="00A00BC5" w:rsidRDefault="00A00BC5" w:rsidP="00A00BC5">
      <w:pPr>
        <w:jc w:val="center"/>
      </w:pPr>
    </w:p>
    <w:p w:rsidR="00A00BC5" w:rsidRPr="00A00BC5" w:rsidRDefault="00A00BC5" w:rsidP="00A00BC5">
      <w:pPr>
        <w:tabs>
          <w:tab w:val="left" w:pos="0"/>
          <w:tab w:val="center" w:pos="4536"/>
        </w:tabs>
        <w:ind w:left="360" w:hanging="360"/>
        <w:jc w:val="both"/>
      </w:pPr>
      <w:r w:rsidRPr="00A00BC5">
        <w:t>(3) Az ÜR. V. rész 2. pont „Szakmai Felügyeleti Osztály” főcímhez tartozó „Szakfeladathoz kapcsolódó feladatok, Társadalmi kapcsolatok szervezése” alpontja kiegészül az alábbi rendelkezésekkel: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u w:val="single"/>
        </w:rPr>
      </w:pPr>
    </w:p>
    <w:p w:rsidR="00A00BC5" w:rsidRPr="00A00BC5" w:rsidRDefault="00A00BC5" w:rsidP="00A00BC5">
      <w:pPr>
        <w:pStyle w:val="Szvegtrzsbehzssal"/>
      </w:pPr>
      <w:r w:rsidRPr="00A00BC5">
        <w:t>„-         Előkészíti és gondozza a Békés Megyei Önkormányzat Közművelődési Koncepcióját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Előkészíti és gondozza a Békés Megyei Önkormányzat Kulturális Koncepcióját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Előkészíti és gondozza a Békés Megyei Önkormányzat Ifjúsági Koncepcióját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Előkészíti és gondozza a Békés Megyei Önkormányzat Civil Stratégiáját</w:t>
      </w:r>
    </w:p>
    <w:p w:rsidR="00A00BC5" w:rsidRPr="00A00BC5" w:rsidRDefault="00A00BC5" w:rsidP="00A00BC5">
      <w:pPr>
        <w:numPr>
          <w:ilvl w:val="0"/>
          <w:numId w:val="19"/>
        </w:numPr>
        <w:jc w:val="both"/>
      </w:pPr>
      <w:r w:rsidRPr="00A00BC5">
        <w:t>Előkészíti és gondozza a Békés Megyei Önkormányzat Sport Koncepcióját”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center"/>
      </w:pP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lastRenderedPageBreak/>
        <w:t>12.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pStyle w:val="Szvegtrzs"/>
        <w:rPr>
          <w:szCs w:val="24"/>
        </w:rPr>
      </w:pPr>
      <w:r w:rsidRPr="00A00BC5">
        <w:rPr>
          <w:szCs w:val="24"/>
        </w:rPr>
        <w:t>Az ÜR. V. rész 3. pontja helyébe a következő rendelkezés lép:</w:t>
      </w:r>
    </w:p>
    <w:p w:rsidR="00A00BC5" w:rsidRPr="00A00BC5" w:rsidRDefault="00A00BC5" w:rsidP="00A00BC5">
      <w:pPr>
        <w:pStyle w:val="Szvegtrzs"/>
        <w:rPr>
          <w:szCs w:val="24"/>
        </w:rPr>
      </w:pPr>
    </w:p>
    <w:p w:rsidR="00A00BC5" w:rsidRPr="00A00BC5" w:rsidRDefault="00A00BC5" w:rsidP="00A00BC5">
      <w:pPr>
        <w:pStyle w:val="Szvegtrzs"/>
        <w:rPr>
          <w:szCs w:val="24"/>
          <w:u w:val="single"/>
        </w:rPr>
      </w:pPr>
      <w:r w:rsidRPr="00A00BC5">
        <w:rPr>
          <w:szCs w:val="24"/>
        </w:rPr>
        <w:t>„3</w:t>
      </w:r>
      <w:r w:rsidRPr="00A00BC5">
        <w:rPr>
          <w:b/>
          <w:szCs w:val="24"/>
        </w:rPr>
        <w:t>.</w:t>
      </w:r>
      <w:r w:rsidRPr="00A00BC5">
        <w:rPr>
          <w:b/>
          <w:szCs w:val="24"/>
          <w:u w:val="single"/>
        </w:rPr>
        <w:t xml:space="preserve"> PÉNZÜGYI OSZTÁLY</w:t>
      </w:r>
      <w:r w:rsidRPr="00A00BC5">
        <w:rPr>
          <w:szCs w:val="24"/>
          <w:u w:val="single"/>
        </w:rPr>
        <w:t>:</w:t>
      </w:r>
    </w:p>
    <w:p w:rsidR="00A00BC5" w:rsidRPr="00A00BC5" w:rsidRDefault="00A00BC5" w:rsidP="00A00BC5">
      <w:pPr>
        <w:pStyle w:val="Szvegtrzs"/>
        <w:rPr>
          <w:szCs w:val="24"/>
          <w:u w:val="single"/>
        </w:rPr>
      </w:pP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Előkészíti és közreműködik a Képviselő-testület által elfogadott költségvetés és zárszámadás végrehajtásában,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Részt vesz az önkormányzat gazdasági programjának összeállításában,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Növekedésorientált Gazdasági Programhoz kapcsolódó finanszírozási feladatokat,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Biztosítja a folyamatos pénzellátást, a likviditás szervezését,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- Ellátja a pénzügyi folyamatok adatfeldolgozását, pénzügyi tervezést, könyvelést, beszámolókat és szakmai előterjesztéseket készít, és döntés után végrehajtja azokat,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beruházások pénzügyi feladatait,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Biztosítja az intézmények finanszírozását,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az önkormányzatot megillető normatív állami hozzájáruláshoz kapcsolódó mutatószámok felmérését, az állami hozzájárulások megigénylését, lemondását és pótigénylését,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 xml:space="preserve">Lehívja a központosított előirányzatokat, intézi az intézményi szintű igényfelméréseket, 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Intézi a kötvénnyel kapcsolatos adatok kezelését, feldolgozását,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támogató szolgáltatásokkal kapcsolatos pénzügyi feladatok lebonyolítását,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Kontrolling tevékenységet végez költségcsökkentési tényezők kidolgozására a Hivatal és az intézmények esetében, bevétel növelési lehetőségek kidolgozására, vizsgálja az információs hálózatot, jelentéseket készít a menedzsment részére,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szociális foglalkoztatással összefüggő önkormányzati szintű gazdasági ügyeket,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Biztosítja a létszámgazdálkodással összefüggő pályázatok kezelését, alapítványok gazdálkodási ügyeinek intézését,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Kezeli a lakásalapokat,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projektek pénzügyi szakmai felügyeletét és végrehajtását,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Előkészíti a külső szervezetek számára nyújtott támogatások szerződéseit, nyilvántartja a kötelezettségvállalásokat, továbbá a támogatások felhasználását, biztosítja a számadási kötelezettséget,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Igény esetén szakmai segítségnyújtás a települési önkormányzatoknak és polgármesteri hivataloknak,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Biztosítja a Pénzügyi és Területfejlesztési Bizottság szakmai működési feltételeit,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Védelmi Titkárság, valamint a Védelmi Bizottság tevékenységéhez kapcsolódó pénzügyi feladatokat,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választások, népszavazások pénzügyi lebonyolítását,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az Államháztartási törvényben és annak végrehajtási rendeletében a gazdasági szervezetre meghatározott feladatokat,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megyei képviselők, bizottsági tagok tiszteletdíjának, költségtérítésének elszámolásával, kifizetésével kapcsolatos feladatokat,</w:t>
      </w:r>
    </w:p>
    <w:p w:rsidR="00A00BC5" w:rsidRPr="00A00BC5" w:rsidRDefault="00A00BC5" w:rsidP="00A00BC5">
      <w:pPr>
        <w:pStyle w:val="Szvegtrzs"/>
        <w:widowControl/>
        <w:numPr>
          <w:ilvl w:val="1"/>
          <w:numId w:val="18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Ellátja a megyei kisebbségi önkormányzatokkal kapcsolatos pénzügyi feladatokat.”</w:t>
      </w:r>
    </w:p>
    <w:p w:rsidR="00A00BC5" w:rsidRPr="00A00BC5" w:rsidRDefault="00A00BC5" w:rsidP="00A00BC5">
      <w:pPr>
        <w:jc w:val="both"/>
      </w:pPr>
    </w:p>
    <w:p w:rsidR="00A00BC5" w:rsidRDefault="00A00BC5" w:rsidP="00A00BC5">
      <w:pPr>
        <w:jc w:val="center"/>
        <w:rPr>
          <w:b/>
        </w:rPr>
      </w:pP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lastRenderedPageBreak/>
        <w:t>13.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  <w:r w:rsidRPr="00A00BC5">
        <w:t>Az ÜR. V. rész 4. pont „Területfejlesztési Osztály” főcímhez tartozó „Egyéb feladatok” alpontjának harmadik szakasza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u w:val="single"/>
        </w:rPr>
      </w:pPr>
      <w:r w:rsidRPr="00A00BC5">
        <w:t>„Biztosítja a Gazdasági Bizottság, a Mezőgazdasági és Vidékfejlesztési Bizottság működési feltételeinek szakmai feladatait.”</w:t>
      </w:r>
    </w:p>
    <w:p w:rsidR="00A00BC5" w:rsidRPr="00A00BC5" w:rsidRDefault="00A00BC5" w:rsidP="00A00BC5">
      <w:pPr>
        <w:jc w:val="center"/>
        <w:rPr>
          <w:b/>
        </w:rPr>
      </w:pPr>
    </w:p>
    <w:p w:rsidR="00A00BC5" w:rsidRPr="00A00BC5" w:rsidRDefault="00A00BC5" w:rsidP="00A00BC5">
      <w:pPr>
        <w:jc w:val="center"/>
        <w:rPr>
          <w:b/>
        </w:rPr>
      </w:pPr>
      <w:r w:rsidRPr="00A00BC5">
        <w:rPr>
          <w:b/>
        </w:rPr>
        <w:t>14.</w:t>
      </w:r>
    </w:p>
    <w:p w:rsidR="00A00BC5" w:rsidRPr="00A00BC5" w:rsidRDefault="00A00BC5" w:rsidP="00A00BC5">
      <w:pPr>
        <w:jc w:val="center"/>
      </w:pPr>
    </w:p>
    <w:p w:rsidR="00A00BC5" w:rsidRPr="00A00BC5" w:rsidRDefault="00A00BC5" w:rsidP="00A00BC5">
      <w:pPr>
        <w:pStyle w:val="Szvegtrzs"/>
        <w:widowControl/>
        <w:numPr>
          <w:ilvl w:val="0"/>
          <w:numId w:val="24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Az ÜR. V. rész  4. pont „Külügyi stratégiai feladatok” alpontjának 3. szakasza helyébe a következő rendelkezés lép:</w:t>
      </w:r>
    </w:p>
    <w:p w:rsidR="00A00BC5" w:rsidRPr="00A00BC5" w:rsidRDefault="00A00BC5" w:rsidP="00A00BC5">
      <w:pPr>
        <w:pStyle w:val="Szvegtrzs"/>
        <w:rPr>
          <w:szCs w:val="24"/>
        </w:rPr>
      </w:pPr>
    </w:p>
    <w:p w:rsidR="00A00BC5" w:rsidRPr="00A00BC5" w:rsidRDefault="00A00BC5" w:rsidP="00A00BC5">
      <w:pPr>
        <w:ind w:left="708"/>
        <w:jc w:val="both"/>
        <w:rPr>
          <w:color w:val="000000"/>
          <w:u w:val="single"/>
        </w:rPr>
      </w:pPr>
      <w:r w:rsidRPr="00A00BC5">
        <w:t xml:space="preserve">„ - A nemzetközi együttműködések során végzi a projektalapú együttműködések előkészítését, a finanszírozási források feltárását, a közös projektek lebonyolítását, </w:t>
      </w:r>
      <w:r w:rsidRPr="00A00BC5">
        <w:rPr>
          <w:color w:val="000000"/>
        </w:rPr>
        <w:t>illetve ezen feladatok koordinálását.”</w:t>
      </w:r>
    </w:p>
    <w:p w:rsidR="00A00BC5" w:rsidRPr="00A00BC5" w:rsidRDefault="00A00BC5" w:rsidP="00A00BC5"/>
    <w:p w:rsidR="00A00BC5" w:rsidRPr="00A00BC5" w:rsidRDefault="00A00BC5" w:rsidP="00A00BC5">
      <w:pPr>
        <w:pStyle w:val="Szvegtrzs"/>
        <w:widowControl/>
        <w:numPr>
          <w:ilvl w:val="0"/>
          <w:numId w:val="24"/>
        </w:numPr>
        <w:tabs>
          <w:tab w:val="left" w:pos="180"/>
          <w:tab w:val="left" w:pos="360"/>
        </w:tabs>
        <w:autoSpaceDE/>
        <w:autoSpaceDN/>
        <w:adjustRightInd/>
        <w:rPr>
          <w:szCs w:val="24"/>
        </w:rPr>
      </w:pPr>
      <w:r w:rsidRPr="00A00BC5">
        <w:rPr>
          <w:szCs w:val="24"/>
        </w:rPr>
        <w:t>Az ÜR. V. rész 4. pont „Pályázat előkészítés, lektorálás, tolmácsolás” alpontja megnevezés helyébe a következő megnevezés lép:</w:t>
      </w:r>
    </w:p>
    <w:p w:rsidR="00A00BC5" w:rsidRPr="00A00BC5" w:rsidRDefault="00A00BC5" w:rsidP="00A00BC5">
      <w:pPr>
        <w:pStyle w:val="Szvegtrzs"/>
        <w:ind w:left="360"/>
        <w:rPr>
          <w:szCs w:val="24"/>
        </w:rPr>
      </w:pPr>
    </w:p>
    <w:p w:rsidR="00A00BC5" w:rsidRPr="00A00BC5" w:rsidRDefault="00A00BC5" w:rsidP="00A00BC5">
      <w:pPr>
        <w:ind w:firstLine="708"/>
        <w:jc w:val="both"/>
        <w:rPr>
          <w:u w:val="single"/>
        </w:rPr>
      </w:pPr>
      <w:r w:rsidRPr="00A00BC5">
        <w:t>„</w:t>
      </w:r>
      <w:r w:rsidRPr="00A00BC5">
        <w:rPr>
          <w:u w:val="single"/>
        </w:rPr>
        <w:t>Lektorálás, tolmácsolás:”</w:t>
      </w:r>
    </w:p>
    <w:p w:rsidR="00A00BC5" w:rsidRPr="00A00BC5" w:rsidRDefault="00A00BC5" w:rsidP="00A00BC5">
      <w:pPr>
        <w:ind w:firstLine="708"/>
        <w:jc w:val="both"/>
        <w:rPr>
          <w:u w:val="single"/>
        </w:rPr>
      </w:pPr>
    </w:p>
    <w:p w:rsidR="00A00BC5" w:rsidRPr="00A00BC5" w:rsidRDefault="00A00BC5" w:rsidP="00A00BC5">
      <w:pPr>
        <w:pStyle w:val="Szvegtrzs"/>
        <w:widowControl/>
        <w:numPr>
          <w:ilvl w:val="0"/>
          <w:numId w:val="24"/>
        </w:numPr>
        <w:autoSpaceDE/>
        <w:autoSpaceDN/>
        <w:adjustRightInd/>
        <w:rPr>
          <w:szCs w:val="24"/>
        </w:rPr>
      </w:pPr>
      <w:r w:rsidRPr="00A00BC5">
        <w:rPr>
          <w:szCs w:val="24"/>
        </w:rPr>
        <w:t>Az ÜR. V. rész 4. pont „Környezet - és természetvédelmi feladatok, energetikai, agrárfejlesztési ügyek, szakmai koordináció” alpont megnevezés és rendelkezései helyébe a következő megnevezés és rendelkezések lépnek:</w:t>
      </w:r>
    </w:p>
    <w:p w:rsidR="00A00BC5" w:rsidRPr="00A00BC5" w:rsidRDefault="00A00BC5" w:rsidP="00A00BC5">
      <w:pPr>
        <w:pStyle w:val="Szvegtrzs"/>
        <w:ind w:left="360"/>
        <w:rPr>
          <w:szCs w:val="24"/>
        </w:rPr>
      </w:pPr>
    </w:p>
    <w:p w:rsidR="00A00BC5" w:rsidRPr="00A00BC5" w:rsidRDefault="00A00BC5" w:rsidP="00A00BC5">
      <w:pPr>
        <w:pStyle w:val="Szvegtrzs"/>
        <w:ind w:left="360"/>
        <w:rPr>
          <w:szCs w:val="24"/>
          <w:u w:val="single"/>
        </w:rPr>
      </w:pPr>
      <w:r w:rsidRPr="00A00BC5">
        <w:rPr>
          <w:szCs w:val="24"/>
          <w:u w:val="single"/>
        </w:rPr>
        <w:t>„ Környezet- és természetvédelmi feladatok, agrárfejlesztési ügyek, szakmai koordináció:</w:t>
      </w:r>
    </w:p>
    <w:p w:rsidR="00A00BC5" w:rsidRPr="00A00BC5" w:rsidRDefault="00A00BC5" w:rsidP="00A00BC5">
      <w:pPr>
        <w:pStyle w:val="Szvegtrzs"/>
        <w:ind w:left="360"/>
        <w:rPr>
          <w:szCs w:val="24"/>
          <w:u w:val="single"/>
        </w:rPr>
      </w:pPr>
    </w:p>
    <w:p w:rsidR="00A00BC5" w:rsidRPr="00A00BC5" w:rsidRDefault="00A00BC5" w:rsidP="00A00BC5">
      <w:pPr>
        <w:numPr>
          <w:ilvl w:val="0"/>
          <w:numId w:val="21"/>
        </w:numPr>
        <w:jc w:val="both"/>
      </w:pPr>
      <w:r w:rsidRPr="00A00BC5">
        <w:t>Elősegíti a települések együttműködési lehetőségeit a hulladékgazdálkodás, az ivóvízminőség-javítás, a szennyvízelvezetés és tisztítása megoldásában.</w:t>
      </w:r>
    </w:p>
    <w:p w:rsidR="00A00BC5" w:rsidRPr="00A00BC5" w:rsidRDefault="00A00BC5" w:rsidP="00A00BC5">
      <w:pPr>
        <w:numPr>
          <w:ilvl w:val="0"/>
          <w:numId w:val="21"/>
        </w:numPr>
        <w:jc w:val="both"/>
      </w:pPr>
      <w:r w:rsidRPr="00A00BC5">
        <w:t>Ellátja a környezet és a természet védelmével, a hulladékgazdálkodással kapcsolatos feladatokat.</w:t>
      </w:r>
    </w:p>
    <w:p w:rsidR="00A00BC5" w:rsidRPr="00A00BC5" w:rsidRDefault="00A00BC5" w:rsidP="00A00BC5">
      <w:pPr>
        <w:numPr>
          <w:ilvl w:val="0"/>
          <w:numId w:val="21"/>
        </w:numPr>
        <w:jc w:val="both"/>
      </w:pPr>
      <w:r w:rsidRPr="00A00BC5">
        <w:t>Figyelemmel kíséri a megye agrár ágazatának helyzetét, indokolt esetben jelzést, intézkedést kezdeményez.</w:t>
      </w:r>
    </w:p>
    <w:p w:rsidR="00A00BC5" w:rsidRPr="00A00BC5" w:rsidRDefault="00A00BC5" w:rsidP="00A00BC5">
      <w:pPr>
        <w:numPr>
          <w:ilvl w:val="0"/>
          <w:numId w:val="21"/>
        </w:numPr>
        <w:jc w:val="both"/>
      </w:pPr>
      <w:r w:rsidRPr="00A00BC5">
        <w:t xml:space="preserve">Szakmai konzultációt végez a megújuló energiaforrások hasznosításában, elterjesztésében. </w:t>
      </w:r>
    </w:p>
    <w:p w:rsidR="00A00BC5" w:rsidRPr="00A00BC5" w:rsidRDefault="00A00BC5" w:rsidP="00A00BC5">
      <w:pPr>
        <w:numPr>
          <w:ilvl w:val="0"/>
          <w:numId w:val="21"/>
        </w:numPr>
        <w:jc w:val="both"/>
      </w:pPr>
      <w:r w:rsidRPr="00A00BC5">
        <w:t>Segíti az agrárvállalkozókat az EU-s forrásszerzési lehetőségek megismerésében, az agár- és vidékfejlesztés területén.”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numPr>
          <w:ilvl w:val="0"/>
          <w:numId w:val="24"/>
        </w:numPr>
        <w:jc w:val="both"/>
      </w:pPr>
      <w:r w:rsidRPr="00A00BC5">
        <w:t>Az ÜR. V. rész  4. pont „Vagyongazdálkodás, vagyonkataszter – kezelés, lebonyolítás, gazdálkodás, nyilvántartás” alpont és rendelkezései helyébe a következő rendelkezések lépnek: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ind w:firstLine="360"/>
        <w:jc w:val="both"/>
        <w:rPr>
          <w:color w:val="000000"/>
          <w:u w:val="single"/>
        </w:rPr>
      </w:pPr>
      <w:r w:rsidRPr="00A00BC5">
        <w:t>„</w:t>
      </w:r>
      <w:r w:rsidRPr="00A00BC5">
        <w:rPr>
          <w:color w:val="000000"/>
          <w:u w:val="single"/>
        </w:rPr>
        <w:t xml:space="preserve">Vagyongazdálkodás, vagyonkataszter- nyilvántartás, lebonyolítás: 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Ellátja a vagyongazdálkodással, vagyonhasznosítással összefüggő feladatait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Ellátja az ingatlan vagyonkataszter vezetését, szükség szerint előkészíti a vagyonrendelet módosítását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Ellátja a vagyongazdálkodási, valamint az ezzel összefüggő ár- és díjbevétellel kapcsolatos feladatokat.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 xml:space="preserve">Döntés-előkészítő javaslatokat készít az önkormányzati vagyon stratégiai hasznosítására, ennek érdekében összeállítja a hasznosítási tervet és jóváhagyásra  a Képviselő-testület elé terjeszti  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lastRenderedPageBreak/>
        <w:t>Összeállítja a megyei önkormányzat működési területén a hasznosítás anyagi kondícióit megalapozó, piaci alapú díjadatokat, statisztikákat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 xml:space="preserve">Kapcsolatot tart az önkormányzati tulajdonú ingatlanokat érintő szakhatóságokkal  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Közreműködik az önkormányzati tulajdonú ingatlanok, vagy helyiségek bérleti és adásvételi szerződések előkészítésében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Figyelemmel kíséri az elkészült szerződések végrehajtása során esetlegesen szükségessé váló jogi és egyéb lépéseinek megtételét</w:t>
      </w:r>
    </w:p>
    <w:p w:rsidR="00A00BC5" w:rsidRPr="00A00BC5" w:rsidRDefault="00A00BC5" w:rsidP="00A00BC5">
      <w:pPr>
        <w:numPr>
          <w:ilvl w:val="0"/>
          <w:numId w:val="22"/>
        </w:numPr>
        <w:jc w:val="both"/>
        <w:rPr>
          <w:color w:val="000000"/>
        </w:rPr>
      </w:pPr>
      <w:r w:rsidRPr="00A00BC5">
        <w:rPr>
          <w:color w:val="000000"/>
        </w:rPr>
        <w:t>Elkészíti és közzé teszi a vagyonhasznosítási pályázatokat, kiírja a pályázati felhívásokat és lebonyolítja azokat, részt vesz a pályázatok elbírálásában</w:t>
      </w:r>
    </w:p>
    <w:p w:rsidR="00A00BC5" w:rsidRPr="00A00BC5" w:rsidRDefault="00A00BC5" w:rsidP="00A00BC5">
      <w:pPr>
        <w:numPr>
          <w:ilvl w:val="0"/>
          <w:numId w:val="21"/>
        </w:numPr>
        <w:jc w:val="both"/>
        <w:rPr>
          <w:color w:val="000000"/>
        </w:rPr>
      </w:pPr>
      <w:r w:rsidRPr="00A00BC5">
        <w:rPr>
          <w:color w:val="000000"/>
        </w:rPr>
        <w:t>Részt vesz az önkormányzat energiafelhasználást csökkentő feladatainak megvalósításában.”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ind w:left="708" w:hanging="708"/>
        <w:jc w:val="both"/>
      </w:pPr>
      <w:r w:rsidRPr="00A00BC5">
        <w:t xml:space="preserve">(5) </w:t>
      </w:r>
      <w:r w:rsidRPr="00A00BC5">
        <w:tab/>
        <w:t>Az ÜR. V. rész  4. pont „Műemlékvédelmi, területfejlesztési feladatok ellátása; megyei turisztikai feladatok” alpont 5. szakasza helyébe a következő rendelkezés lép: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ind w:firstLine="708"/>
        <w:jc w:val="both"/>
      </w:pPr>
      <w:r w:rsidRPr="00A00BC5">
        <w:t xml:space="preserve">„ - Feladatellátása során együttműködik a megye gazdasági </w:t>
      </w:r>
      <w:r w:rsidRPr="00A00BC5">
        <w:rPr>
          <w:color w:val="000000"/>
        </w:rPr>
        <w:t>szereplőivel.”</w:t>
      </w:r>
    </w:p>
    <w:p w:rsidR="00A00BC5" w:rsidRPr="00A00BC5" w:rsidRDefault="00A00BC5" w:rsidP="00A00BC5">
      <w:pPr>
        <w:tabs>
          <w:tab w:val="left" w:pos="360"/>
        </w:tabs>
        <w:jc w:val="both"/>
        <w:rPr>
          <w:color w:val="000000"/>
        </w:rPr>
      </w:pPr>
    </w:p>
    <w:p w:rsidR="00A00BC5" w:rsidRPr="00A00BC5" w:rsidRDefault="00A00BC5" w:rsidP="00A00BC5">
      <w:pPr>
        <w:pStyle w:val="Szvegtrzs3"/>
        <w:ind w:left="708" w:hanging="708"/>
        <w:rPr>
          <w:sz w:val="24"/>
          <w:szCs w:val="24"/>
        </w:rPr>
      </w:pPr>
      <w:r w:rsidRPr="00A00BC5">
        <w:rPr>
          <w:sz w:val="24"/>
          <w:szCs w:val="24"/>
        </w:rPr>
        <w:t>(6)    Az ÜR. V. rész  4. pont „Műemlékvédelmi, területfejlesztési feladatok ellátása; megyei   turisztikai feladatok” alpont 9. szakasza helyébe a következő rendelkezés lép: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autoSpaceDE w:val="0"/>
        <w:autoSpaceDN w:val="0"/>
        <w:adjustRightInd w:val="0"/>
        <w:ind w:left="708"/>
        <w:jc w:val="both"/>
        <w:rPr>
          <w:color w:val="000000"/>
        </w:rPr>
      </w:pPr>
      <w:r w:rsidRPr="00A00BC5">
        <w:t xml:space="preserve">„-Közreműködik </w:t>
      </w:r>
      <w:r w:rsidRPr="00A00BC5">
        <w:rPr>
          <w:color w:val="000000"/>
        </w:rPr>
        <w:t>a DARFT (Dél-Alföldi Regionális Fejlesztési Tanács)  kompetenciájába tartozó szakmai feladatok ellátásában.”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numPr>
          <w:ilvl w:val="0"/>
          <w:numId w:val="25"/>
        </w:numPr>
        <w:ind w:hanging="1080"/>
        <w:jc w:val="both"/>
      </w:pPr>
      <w:r w:rsidRPr="00A00BC5">
        <w:t>Az ÜR. V. rész  4. pont „Egyéb feladatok” alpont rendelkezései helyébe a következő rendelkezések lépnek: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>„Elkészíti a feladatkörébe tartozó testületi előterjesztéseket, a vezetői döntések megalapozását szolgáló dokumentumokat. Gondoskodik a testületi, valamint vezetői döntések végrehajtásáról.</w:t>
      </w: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>Nyilvántartja a feladatkörébe tartozó testületi döntéseket és beszámol azok végrehajtásáról.</w:t>
      </w: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>Szakmai felelősként közreműködik a Pénzügyi és Területfejlesztési -, a Gazdasági -, valamint a Mezőgazdasági és Vidékfejlesztési Bizottság munkájában. Szakmai segítséget nyújt a Közbeszerzési Bizottság és az Előkészítő Munkacsoport munkájához. Ebben a feladatkörben döntésre előkészíti a Békés Megyei Önkormányzat éves közbeszerzési tervét /lásd: Közbeszerzési Szabályzat/</w:t>
      </w: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>Feladatkörében kapcsolatot tart az illetékes főhatóságokkal, a szakmai és érdekképviseleti szervekkel.</w:t>
      </w: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 xml:space="preserve">Közreműködik a Békés Megyei Önkormányzat, valamint Békés megye gazdasági programjainak elkészítésében és azok végrehajtásában. </w:t>
      </w:r>
    </w:p>
    <w:p w:rsidR="00A00BC5" w:rsidRPr="00A00BC5" w:rsidRDefault="00A00BC5" w:rsidP="00A00BC5">
      <w:pPr>
        <w:numPr>
          <w:ilvl w:val="0"/>
          <w:numId w:val="23"/>
        </w:numPr>
        <w:jc w:val="both"/>
        <w:rPr>
          <w:color w:val="000000"/>
        </w:rPr>
      </w:pPr>
      <w:r w:rsidRPr="00A00BC5">
        <w:rPr>
          <w:color w:val="000000"/>
        </w:rPr>
        <w:t>Ellátja a Békés Megyei Területfejlesztési Tanács titkársági feladatait.”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  <w:rPr>
          <w:u w:val="single"/>
        </w:rPr>
      </w:pPr>
    </w:p>
    <w:p w:rsidR="00A00BC5" w:rsidRPr="00A00BC5" w:rsidRDefault="00A00BC5" w:rsidP="00A00BC5">
      <w:pPr>
        <w:ind w:left="709" w:hanging="709"/>
        <w:jc w:val="center"/>
        <w:rPr>
          <w:b/>
          <w:spacing w:val="-3"/>
        </w:rPr>
      </w:pPr>
      <w:r w:rsidRPr="00A00BC5">
        <w:rPr>
          <w:b/>
          <w:spacing w:val="-3"/>
        </w:rPr>
        <w:t>15.</w:t>
      </w:r>
    </w:p>
    <w:p w:rsidR="00A00BC5" w:rsidRPr="00A00BC5" w:rsidRDefault="00A00BC5" w:rsidP="00A00BC5">
      <w:pPr>
        <w:ind w:left="709" w:hanging="709"/>
        <w:rPr>
          <w:b/>
          <w:spacing w:val="-3"/>
        </w:rPr>
      </w:pPr>
    </w:p>
    <w:p w:rsidR="00A00BC5" w:rsidRPr="00A00BC5" w:rsidRDefault="00A00BC5" w:rsidP="00A00BC5">
      <w:pPr>
        <w:pStyle w:val="Szvegtrzs"/>
        <w:rPr>
          <w:szCs w:val="24"/>
        </w:rPr>
      </w:pPr>
      <w:r w:rsidRPr="00A00BC5">
        <w:rPr>
          <w:szCs w:val="24"/>
        </w:rPr>
        <w:t>Az ÜR. V. rész 5. pontja helyébe a következő rendelkezés lép:</w:t>
      </w:r>
    </w:p>
    <w:p w:rsidR="00A00BC5" w:rsidRPr="00A00BC5" w:rsidRDefault="00A00BC5" w:rsidP="00A00BC5">
      <w:pPr>
        <w:pStyle w:val="Szvegtrzs"/>
        <w:rPr>
          <w:szCs w:val="24"/>
        </w:rPr>
      </w:pPr>
    </w:p>
    <w:p w:rsidR="00A00BC5" w:rsidRPr="00A00BC5" w:rsidRDefault="00A00BC5" w:rsidP="00A00BC5">
      <w:pPr>
        <w:pStyle w:val="Szvegtrzs"/>
        <w:rPr>
          <w:b/>
          <w:szCs w:val="24"/>
        </w:rPr>
      </w:pPr>
      <w:r w:rsidRPr="00A00BC5">
        <w:rPr>
          <w:b/>
          <w:szCs w:val="24"/>
        </w:rPr>
        <w:t xml:space="preserve">„5. </w:t>
      </w:r>
      <w:r w:rsidRPr="00A00BC5">
        <w:rPr>
          <w:b/>
          <w:szCs w:val="24"/>
          <w:u w:val="single"/>
        </w:rPr>
        <w:t>BELSŐ ELLENŐRZÉSI CSOPORT</w:t>
      </w:r>
      <w:r w:rsidRPr="00A00BC5">
        <w:rPr>
          <w:b/>
          <w:szCs w:val="24"/>
        </w:rPr>
        <w:t>:</w:t>
      </w:r>
    </w:p>
    <w:p w:rsidR="00A00BC5" w:rsidRPr="00A00BC5" w:rsidRDefault="00A00BC5" w:rsidP="00A00BC5">
      <w:pPr>
        <w:autoSpaceDE w:val="0"/>
        <w:autoSpaceDN w:val="0"/>
        <w:adjustRightInd w:val="0"/>
        <w:spacing w:before="240" w:after="240"/>
        <w:jc w:val="both"/>
      </w:pPr>
      <w:r w:rsidRPr="00A00BC5">
        <w:t>A csoport közvetlenül a Főjegyzőnek alárendelten működik.</w:t>
      </w:r>
    </w:p>
    <w:p w:rsidR="00A00BC5" w:rsidRDefault="00A00BC5" w:rsidP="00A00BC5">
      <w:pPr>
        <w:autoSpaceDE w:val="0"/>
        <w:autoSpaceDN w:val="0"/>
        <w:adjustRightInd w:val="0"/>
        <w:jc w:val="both"/>
        <w:rPr>
          <w:b/>
        </w:rPr>
      </w:pPr>
    </w:p>
    <w:p w:rsidR="00A00BC5" w:rsidRPr="00A00BC5" w:rsidRDefault="00A00BC5" w:rsidP="00A00BC5">
      <w:pPr>
        <w:autoSpaceDE w:val="0"/>
        <w:autoSpaceDN w:val="0"/>
        <w:adjustRightInd w:val="0"/>
        <w:jc w:val="both"/>
        <w:rPr>
          <w:b/>
        </w:rPr>
      </w:pPr>
      <w:r w:rsidRPr="00A00BC5">
        <w:rPr>
          <w:b/>
        </w:rPr>
        <w:lastRenderedPageBreak/>
        <w:t>A Belső Ellenőrzési Csoport feladata: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elemezni, vizsgálni és értékelni a belső kontrollrendszerek kiépítésének, működésének jogszabályoknak és szabályzatoknak való megfelelését;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elemezni, vizsgálni és értékelni a belső kontrollrendszerek működésének gazdaságosságát, hatékonyságát és eredményességét;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elemezni, vizsgálni a rendelkezésére álló erőforrásokkal való gazdálkodást, a vagyon megóvását és gyarapítását, valamint az elszámolások, beszámolók megbízhatóságát;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 vizsgált folyamatokkal kapcsolatban megállapításokat és ajánlásokat tenni, valamint elemzéseket, értékeléseket készíteni a főjegyző, vagy az ellenőrzött szerv/szervezet vezetője részére a költségvetési szerv működése eredményességének növelése, valamint a belső kontrollrendszerek (ideértve a FEUVE-t is) javítása, továbbfejlesztése érdekében;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ajánlásokat és javaslatokat megfogalmazni a kockázati tényezők, hiányosságok megszüntetése, kiküszöbölése vagy csökkentése, valamint a szabálytalanságok megelőzése, illetve feltárása érdekében;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nyomon követni az ellenőrzési jelentések alapján megtett intézkedéseket;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 költségvetési szerven belül a nemzetközi belső ellenőrzési standardok és a belső ellenőrzési kézikönyvben rögzítettek szerint tanácsadási tevékenységet ellátni.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 belső ellenőrzési tevékenység során szabályszerűségi, pénzügyi, rendszer- és teljesítmény-ellenőrzéseket, illetve informatikai rendszerellenőrzéseket, valamint az éves elemi költségvetési beszámolókra vonatkozóan megbízhatósági ellenőrzéseket kell végezni;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  <w:rPr>
          <w:b/>
        </w:rPr>
      </w:pPr>
    </w:p>
    <w:p w:rsidR="00A00BC5" w:rsidRPr="00A00BC5" w:rsidRDefault="00A00BC5" w:rsidP="00A00BC5">
      <w:pPr>
        <w:autoSpaceDE w:val="0"/>
        <w:autoSpaceDN w:val="0"/>
        <w:adjustRightInd w:val="0"/>
        <w:jc w:val="both"/>
        <w:rPr>
          <w:b/>
        </w:rPr>
      </w:pPr>
      <w:r w:rsidRPr="00A00BC5">
        <w:rPr>
          <w:b/>
        </w:rPr>
        <w:t>A Belső Ellenőrzési Csoport vezetőjének feladata: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elkészíti a belső ellenőrzési kézikönyvet;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összeállítja a kockázatelemzéssel alátámasztott stratégiai és éves ellenőrzési tervet, a Pénzügyi és Területfejlesztési Bizottság jóváhagyása után a terveket végrehajtja, valamint azok megvalósítását nyomon követi;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megszervezi a belső ellenőrzési tevékenységet, irányítja az ellenőrzések végrehajtását;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összehangolja az ellenőrzéseket;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megbízatásával kapcsolatban vagy személyére nézve összeférhetetlenségi ok tudomására jutásáról köteles haladéktalanul jelentést tenni a költségvetési szerv vezetőjének, amelynek elmulasztásáért vagy késedelmes teljesítéséért fegyelmi felelősséggel tartozik;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amennyiben az ellenőrzés során büntető-, szabálysértési, kártérítési, illetve fegyelmi eljárás megindítására okot adó cselekmény, mulasztás vagy hiányosság gyanúja merül fel, a főjegyzőt, illetve a felügyeleti szerv vezetőjét a haladéktalanul tájékoztatja és javaslatot tesz a megfelelő eljárások megindítására;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 xml:space="preserve">- az ellenőrzés lezárását követően az ellenőrzési jelentést az ellenőrzött szerv, illetve szervezeti egység számára megküldi, melynek 10 munkanapja van észrevételt tenni. A határidő elmulasztását egyetértésnek tekinti, melyre a záradékban felhívja az ellenőrzött figyelmét. 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elkészíti az éves ellenőrzési jelentést, illetve az összefoglaló ellenőrzési jelentést összeállítása a pénzügyminiszter által közzétett útmutató szerint;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gondoskodik arról, hogy a belső ellenőrzési kézikönyvben rögzítésre és a belső ellenőrzési tevékenység során alkalmazásra kerüljenek a belső ellenőrzési tevékenység minőségét biztosító eljárások, továbbá hogy érvényesüljenek a pénzügyminiszter által közzétett módszertani útmutatók;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gondoskodik az ellenőrzések nyilvántartásáról, valamint az ellenőrzési dokumentumok legalább 10 évig történő megőrzéséről, illetve a dokumentumok és az adatok biztonságos tárolásáról;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biztosítja a belső ellenőrök szakmai továbbképzését, ennek érdekében - a főjegyző által jóváhagyott - éves képzési tervet készít és gondoskodik annak megvalósításáról;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az éves ellenőrzési jelentés elkészítésekor önértékelés keretében értékeli a belső ellenőrzés minőségét, tárgyi, személyi feltételeit, és javaslatot tesz a főjegyzőnek, a feltételeknek az éves tervvel történő összehangolására;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lastRenderedPageBreak/>
        <w:t>- tájékoztatja a főjegyzőt az éves ellenőrzési terv megvalósításáról, és az attól való eltérésekről;</w:t>
      </w:r>
    </w:p>
    <w:p w:rsidR="00A00BC5" w:rsidRPr="00A00BC5" w:rsidRDefault="00A00BC5" w:rsidP="00A00BC5">
      <w:pPr>
        <w:autoSpaceDE w:val="0"/>
        <w:autoSpaceDN w:val="0"/>
        <w:adjustRightInd w:val="0"/>
        <w:jc w:val="both"/>
      </w:pPr>
      <w:r w:rsidRPr="00A00BC5">
        <w:t>- a pénzügyminiszter által közzétett módszertani útmutató figyelembevételével kialakít és működtet egy olyan nyilvántartási rendszert, amellyel a belső ellenőrzési jelentésben tett megállapítások, és javaslatok alapján készült intézkedési tervben foglalt feladatok végrehajtását nyomon követheti.”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16.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</w:pPr>
    </w:p>
    <w:p w:rsidR="00A00BC5" w:rsidRPr="00A00BC5" w:rsidRDefault="00A00BC5" w:rsidP="00A00BC5">
      <w:pPr>
        <w:pStyle w:val="Szvegtrzs3"/>
        <w:tabs>
          <w:tab w:val="left" w:pos="0"/>
          <w:tab w:val="center" w:pos="4536"/>
        </w:tabs>
        <w:rPr>
          <w:sz w:val="24"/>
          <w:szCs w:val="24"/>
        </w:rPr>
      </w:pPr>
      <w:r w:rsidRPr="00A00BC5">
        <w:rPr>
          <w:sz w:val="24"/>
          <w:szCs w:val="24"/>
        </w:rPr>
        <w:t>Az ÜR. 1. sz. függelék II. rész „A Megyei Illetékhivatalra vonatkozó rendelkezések”                                                                                                                                                                                                      fejezetét hatályon kívül helyezi.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17.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</w:pPr>
    </w:p>
    <w:p w:rsidR="00A00BC5" w:rsidRPr="00A00BC5" w:rsidRDefault="00A00BC5" w:rsidP="00A00BC5">
      <w:pPr>
        <w:pStyle w:val="Szvegtrzs3"/>
        <w:tabs>
          <w:tab w:val="left" w:pos="0"/>
          <w:tab w:val="center" w:pos="4536"/>
        </w:tabs>
        <w:rPr>
          <w:sz w:val="24"/>
          <w:szCs w:val="24"/>
        </w:rPr>
      </w:pPr>
      <w:r w:rsidRPr="00A00BC5">
        <w:rPr>
          <w:sz w:val="24"/>
          <w:szCs w:val="24"/>
        </w:rPr>
        <w:tab/>
        <w:t>Az ÜR. 2. sz. függelék II. rész „A Megyei Illetékhivatalra vonatkozó rendelkezések” fejezetét hatályon kívül helyezi.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18.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numPr>
          <w:ilvl w:val="0"/>
          <w:numId w:val="20"/>
        </w:numPr>
        <w:tabs>
          <w:tab w:val="clear" w:pos="720"/>
          <w:tab w:val="left" w:pos="540"/>
        </w:tabs>
        <w:ind w:left="0" w:firstLine="0"/>
        <w:jc w:val="both"/>
      </w:pPr>
      <w:r w:rsidRPr="00A00BC5">
        <w:t xml:space="preserve">Az ÜR. 2. sz. függelék III. rész 2. pontjának első bekezdését hatályon kívül helyezi. 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numPr>
          <w:ilvl w:val="0"/>
          <w:numId w:val="20"/>
        </w:numPr>
        <w:tabs>
          <w:tab w:val="clear" w:pos="720"/>
        </w:tabs>
        <w:ind w:left="540" w:hanging="540"/>
        <w:jc w:val="both"/>
      </w:pPr>
      <w:r w:rsidRPr="00A00BC5">
        <w:t>Az ÜR. 2. sz. függelék III. rész 2. pont 2. bekezdésének a „…2. sz. melléklete az Illetékhivatalon belüli kiadmányozás részletszabályairól készült belső utasítás,…” mondatrészét hatályon kívül helyezi.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19.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pStyle w:val="Szvegtrzs"/>
        <w:ind w:left="360" w:hanging="360"/>
        <w:rPr>
          <w:szCs w:val="24"/>
        </w:rPr>
      </w:pPr>
      <w:r w:rsidRPr="00A00BC5">
        <w:rPr>
          <w:szCs w:val="24"/>
        </w:rPr>
        <w:t xml:space="preserve">(1) Az ÜR. 2. sz. függelék 1. számú melléklet „A költségvetési ellenőrzési feladatok ellátása” főcím 1. pontjában foglalt rendelkezés helyébe az alábbi rendelkezés lép: 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ind w:left="360"/>
        <w:jc w:val="both"/>
      </w:pPr>
      <w:r w:rsidRPr="00A00BC5">
        <w:t>„Az intézményi költségvetési ellenőrzést a Belső Ellenőrzési Csoport látja el a Hivatal más szervezeti egységeitől az egyes vizsgálatokban történő részvételre kijelölt dolgozók bevonásával.”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pStyle w:val="Szvegtrzs"/>
        <w:tabs>
          <w:tab w:val="center" w:pos="4536"/>
        </w:tabs>
        <w:ind w:left="360" w:hanging="360"/>
        <w:rPr>
          <w:szCs w:val="24"/>
        </w:rPr>
      </w:pPr>
      <w:r w:rsidRPr="00A00BC5">
        <w:rPr>
          <w:szCs w:val="24"/>
        </w:rPr>
        <w:t>(2) Az ÜR. 2. sz. függelék 1. számú melléklet „A költségvetési ellenőrzési feladatok ellátása” főcím 2. pontjában foglalt rendelkezés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center" w:pos="4536"/>
        </w:tabs>
        <w:ind w:left="360"/>
        <w:jc w:val="both"/>
      </w:pPr>
      <w:r w:rsidRPr="00A00BC5">
        <w:t>„A belső ellenőrzési csoportvezető, valamint a belső ellenőrzési csoport tagjai felett a munkáltatói jogokat a főjegyző gyakorolja.”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pStyle w:val="Szvegtrzs"/>
        <w:tabs>
          <w:tab w:val="center" w:pos="4536"/>
        </w:tabs>
        <w:ind w:left="360" w:hanging="360"/>
        <w:rPr>
          <w:szCs w:val="24"/>
        </w:rPr>
      </w:pPr>
      <w:r w:rsidRPr="00A00BC5">
        <w:rPr>
          <w:szCs w:val="24"/>
        </w:rPr>
        <w:t>(3) Az ÜR. 2. sz. függelék 1. számú melléklet 6. pontjában szereplő Pénzügyi, Beruházási és Vállalkozási Osztály Vezetője megnevezés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ind w:firstLine="360"/>
        <w:jc w:val="both"/>
      </w:pPr>
      <w:r w:rsidRPr="00A00BC5">
        <w:t>„Pénzügyi Osztályvezető”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pStyle w:val="Szvegtrzs"/>
        <w:tabs>
          <w:tab w:val="center" w:pos="4536"/>
        </w:tabs>
        <w:ind w:left="360" w:hanging="360"/>
        <w:rPr>
          <w:szCs w:val="24"/>
        </w:rPr>
      </w:pPr>
      <w:r w:rsidRPr="00A00BC5">
        <w:rPr>
          <w:szCs w:val="24"/>
        </w:rPr>
        <w:t>(4) Az ÜR. 2. sz. függelék 1. számú melléklet 6. pontjának utolsó szakaszában szereplő Intézményfelügyeleti Osztály megnevezés helyébe a következő rendelkezés lép: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both"/>
      </w:pPr>
    </w:p>
    <w:p w:rsidR="00A00BC5" w:rsidRPr="00A00BC5" w:rsidRDefault="00A00BC5" w:rsidP="00A00BC5">
      <w:pPr>
        <w:tabs>
          <w:tab w:val="left" w:pos="0"/>
          <w:tab w:val="center" w:pos="4536"/>
        </w:tabs>
        <w:ind w:firstLine="360"/>
        <w:jc w:val="both"/>
      </w:pPr>
      <w:r w:rsidRPr="00A00BC5">
        <w:t>„ Szakmai Felügyeleti Osztály”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t>20.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</w:pPr>
    </w:p>
    <w:p w:rsidR="00A00BC5" w:rsidRPr="00A00BC5" w:rsidRDefault="00A00BC5" w:rsidP="00A00BC5">
      <w:pPr>
        <w:pStyle w:val="Szvegtrzs"/>
        <w:tabs>
          <w:tab w:val="center" w:pos="4536"/>
        </w:tabs>
        <w:rPr>
          <w:szCs w:val="24"/>
        </w:rPr>
      </w:pPr>
      <w:r w:rsidRPr="00A00BC5">
        <w:rPr>
          <w:szCs w:val="24"/>
        </w:rPr>
        <w:t>Az ÜR. 2. sz. függelék 2. sz. melléklet „Kiadmányozás rendje a Békés Megyei Illetékhivatalnál 1997. január 1-től” főcímét és annak rendelkezéseit hatályon kívül helyezi.</w:t>
      </w:r>
    </w:p>
    <w:p w:rsidR="00A00BC5" w:rsidRPr="00A00BC5" w:rsidRDefault="00A00BC5" w:rsidP="00A00BC5">
      <w:pPr>
        <w:tabs>
          <w:tab w:val="left" w:pos="0"/>
          <w:tab w:val="center" w:pos="4536"/>
        </w:tabs>
      </w:pPr>
    </w:p>
    <w:p w:rsid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  <w:rPr>
          <w:b/>
        </w:rPr>
      </w:pPr>
      <w:r w:rsidRPr="00A00BC5">
        <w:rPr>
          <w:b/>
        </w:rPr>
        <w:lastRenderedPageBreak/>
        <w:t>21.</w:t>
      </w:r>
    </w:p>
    <w:p w:rsidR="00A00BC5" w:rsidRPr="00A00BC5" w:rsidRDefault="00A00BC5" w:rsidP="00A00BC5">
      <w:pPr>
        <w:tabs>
          <w:tab w:val="left" w:pos="0"/>
          <w:tab w:val="center" w:pos="4536"/>
        </w:tabs>
        <w:jc w:val="center"/>
      </w:pPr>
    </w:p>
    <w:p w:rsidR="00A00BC5" w:rsidRPr="00A00BC5" w:rsidRDefault="00A00BC5" w:rsidP="00A00BC5">
      <w:pPr>
        <w:pStyle w:val="Szvegtrzs3"/>
        <w:tabs>
          <w:tab w:val="left" w:pos="0"/>
          <w:tab w:val="center" w:pos="4536"/>
        </w:tabs>
        <w:rPr>
          <w:sz w:val="24"/>
          <w:szCs w:val="24"/>
        </w:rPr>
      </w:pPr>
      <w:r w:rsidRPr="00A00BC5">
        <w:rPr>
          <w:sz w:val="24"/>
          <w:szCs w:val="24"/>
        </w:rPr>
        <w:t>Az ÜR. 3. sz. függelék IV. rész „Békés Megyei Illetékhivatal” pontját és annak rendelkezéseit hatályon kívül helyezi.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both"/>
      </w:pPr>
      <w:r w:rsidRPr="00A00BC5">
        <w:rPr>
          <w:u w:val="single"/>
        </w:rPr>
        <w:t>Felelős:</w:t>
      </w:r>
      <w:r w:rsidRPr="00A00BC5">
        <w:tab/>
        <w:t>Domokos László elnök</w:t>
      </w:r>
    </w:p>
    <w:p w:rsidR="00A00BC5" w:rsidRPr="00A00BC5" w:rsidRDefault="00A00BC5" w:rsidP="00A00BC5">
      <w:pPr>
        <w:ind w:left="708" w:firstLine="708"/>
        <w:jc w:val="both"/>
      </w:pPr>
      <w:r w:rsidRPr="00A00BC5">
        <w:t>Dr. Dávid Sándor főjegyző</w:t>
      </w:r>
    </w:p>
    <w:p w:rsidR="00A00BC5" w:rsidRPr="00A00BC5" w:rsidRDefault="00A00BC5" w:rsidP="00A00BC5">
      <w:pPr>
        <w:jc w:val="both"/>
      </w:pPr>
      <w:r w:rsidRPr="00A00BC5">
        <w:tab/>
      </w:r>
      <w:r w:rsidRPr="00A00BC5">
        <w:tab/>
        <w:t>Dr. Pacsika György mb. osztályvezető</w:t>
      </w:r>
    </w:p>
    <w:p w:rsidR="00A00BC5" w:rsidRPr="00A00BC5" w:rsidRDefault="00A00BC5" w:rsidP="00A00BC5">
      <w:pPr>
        <w:jc w:val="both"/>
      </w:pPr>
    </w:p>
    <w:p w:rsidR="00A00BC5" w:rsidRPr="00A00BC5" w:rsidRDefault="00A00BC5" w:rsidP="00A00BC5">
      <w:pPr>
        <w:jc w:val="both"/>
      </w:pPr>
      <w:r w:rsidRPr="00A00BC5">
        <w:rPr>
          <w:u w:val="single"/>
        </w:rPr>
        <w:t>Határidő:</w:t>
      </w:r>
      <w:r w:rsidRPr="00A00BC5">
        <w:tab/>
        <w:t>2010. február 26.</w:t>
      </w:r>
    </w:p>
    <w:p w:rsidR="00A00BC5" w:rsidRPr="00A00BC5" w:rsidRDefault="00A00BC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Pr="00A00BC5" w:rsidRDefault="00A00BC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Pr="00A00BC5" w:rsidRDefault="00A00BC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A00BC5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00BC5">
        <w:rPr>
          <w:color w:val="000000"/>
        </w:rPr>
        <w:t>K.m</w:t>
      </w:r>
      <w:r w:rsidR="00DD54DF" w:rsidRPr="00A00BC5">
        <w:rPr>
          <w:color w:val="000000"/>
        </w:rPr>
        <w:t>.</w:t>
      </w:r>
      <w:r w:rsidRPr="00A00BC5">
        <w:rPr>
          <w:color w:val="000000"/>
        </w:rPr>
        <w:t>f.</w:t>
      </w:r>
    </w:p>
    <w:p w:rsidR="008960EA" w:rsidRDefault="008960EA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Default="00A00BC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00BC5" w:rsidRPr="00A00BC5" w:rsidRDefault="00A00BC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830D8B" w:rsidRPr="00A00BC5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A00BC5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00BC5">
        <w:rPr>
          <w:color w:val="000000"/>
        </w:rPr>
        <w:t>Domokos László  sk.                                                           Dr. Dávid Sándor sk.</w:t>
      </w:r>
    </w:p>
    <w:p w:rsidR="00EC4197" w:rsidRPr="00A00BC5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A00BC5">
        <w:rPr>
          <w:color w:val="000000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A00BC5" w:rsidRDefault="00A00BC5" w:rsidP="00A80B21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A00BC5" w:rsidRPr="00A00BC5" w:rsidRDefault="00A00BC5" w:rsidP="00A80B21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DD54DF" w:rsidRPr="00A00BC5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A00BC5" w:rsidRDefault="00EC4197" w:rsidP="00A80B21">
      <w:pPr>
        <w:widowControl w:val="0"/>
        <w:autoSpaceDE w:val="0"/>
        <w:autoSpaceDN w:val="0"/>
        <w:adjustRightInd w:val="0"/>
      </w:pPr>
      <w:r w:rsidRPr="00A00BC5">
        <w:rPr>
          <w:b/>
          <w:bCs/>
          <w:color w:val="000000"/>
        </w:rPr>
        <w:t>A kivonat hiteléül:</w:t>
      </w:r>
    </w:p>
    <w:sectPr w:rsidR="00D238AB" w:rsidRPr="00A00BC5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D99" w:rsidRDefault="00386D99" w:rsidP="00A80B21">
      <w:r>
        <w:separator/>
      </w:r>
    </w:p>
  </w:endnote>
  <w:endnote w:type="continuationSeparator" w:id="1">
    <w:p w:rsidR="00386D99" w:rsidRDefault="00386D9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75282"/>
      <w:docPartObj>
        <w:docPartGallery w:val="Page Numbers (Bottom of Page)"/>
        <w:docPartUnique/>
      </w:docPartObj>
    </w:sdtPr>
    <w:sdtContent>
      <w:p w:rsidR="00A00BC5" w:rsidRDefault="00A00BC5">
        <w:pPr>
          <w:pStyle w:val="llb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D99" w:rsidRDefault="00386D99" w:rsidP="00A80B21">
      <w:r>
        <w:separator/>
      </w:r>
    </w:p>
  </w:footnote>
  <w:footnote w:type="continuationSeparator" w:id="1">
    <w:p w:rsidR="00386D99" w:rsidRDefault="00386D9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535"/>
    <w:multiLevelType w:val="hybridMultilevel"/>
    <w:tmpl w:val="B220FB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C71"/>
    <w:multiLevelType w:val="multilevel"/>
    <w:tmpl w:val="E8EA1A70"/>
    <w:lvl w:ilvl="0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C4057"/>
    <w:multiLevelType w:val="hybridMultilevel"/>
    <w:tmpl w:val="39248B72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C17D4"/>
    <w:multiLevelType w:val="hybridMultilevel"/>
    <w:tmpl w:val="03788294"/>
    <w:lvl w:ilvl="0" w:tplc="FFFFFFFF">
      <w:start w:val="2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644756"/>
    <w:multiLevelType w:val="hybridMultilevel"/>
    <w:tmpl w:val="9D2E787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2F72D8"/>
    <w:multiLevelType w:val="multilevel"/>
    <w:tmpl w:val="CCBA78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C0672F"/>
    <w:multiLevelType w:val="hybridMultilevel"/>
    <w:tmpl w:val="787EF646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4358E5"/>
    <w:multiLevelType w:val="hybridMultilevel"/>
    <w:tmpl w:val="1FB0FE42"/>
    <w:lvl w:ilvl="0" w:tplc="FFFFFFFF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E350570"/>
    <w:multiLevelType w:val="hybridMultilevel"/>
    <w:tmpl w:val="820A3EE4"/>
    <w:lvl w:ilvl="0" w:tplc="FFFFFFFF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23"/>
  </w:num>
  <w:num w:numId="5">
    <w:abstractNumId w:val="11"/>
  </w:num>
  <w:num w:numId="6">
    <w:abstractNumId w:val="14"/>
  </w:num>
  <w:num w:numId="7">
    <w:abstractNumId w:val="19"/>
  </w:num>
  <w:num w:numId="8">
    <w:abstractNumId w:val="3"/>
  </w:num>
  <w:num w:numId="9">
    <w:abstractNumId w:val="13"/>
  </w:num>
  <w:num w:numId="10">
    <w:abstractNumId w:val="7"/>
  </w:num>
  <w:num w:numId="11">
    <w:abstractNumId w:val="2"/>
  </w:num>
  <w:num w:numId="12">
    <w:abstractNumId w:val="15"/>
  </w:num>
  <w:num w:numId="13">
    <w:abstractNumId w:val="5"/>
  </w:num>
  <w:num w:numId="14">
    <w:abstractNumId w:val="22"/>
  </w:num>
  <w:num w:numId="15">
    <w:abstractNumId w:val="17"/>
  </w:num>
  <w:num w:numId="16">
    <w:abstractNumId w:val="6"/>
  </w:num>
  <w:num w:numId="17">
    <w:abstractNumId w:val="0"/>
  </w:num>
  <w:num w:numId="18">
    <w:abstractNumId w:val="21"/>
  </w:num>
  <w:num w:numId="19">
    <w:abstractNumId w:val="1"/>
  </w:num>
  <w:num w:numId="20">
    <w:abstractNumId w:val="10"/>
  </w:num>
  <w:num w:numId="21">
    <w:abstractNumId w:val="20"/>
  </w:num>
  <w:num w:numId="22">
    <w:abstractNumId w:val="24"/>
  </w:num>
  <w:num w:numId="23">
    <w:abstractNumId w:val="4"/>
  </w:num>
  <w:num w:numId="24">
    <w:abstractNumId w:val="1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5F42"/>
    <w:rsid w:val="00235D6E"/>
    <w:rsid w:val="00333A0F"/>
    <w:rsid w:val="0036390E"/>
    <w:rsid w:val="00386D99"/>
    <w:rsid w:val="004102A7"/>
    <w:rsid w:val="004522A8"/>
    <w:rsid w:val="004711A5"/>
    <w:rsid w:val="004B6F82"/>
    <w:rsid w:val="00551F96"/>
    <w:rsid w:val="00650F8F"/>
    <w:rsid w:val="007C2C65"/>
    <w:rsid w:val="00830D8B"/>
    <w:rsid w:val="008960EA"/>
    <w:rsid w:val="008B03E6"/>
    <w:rsid w:val="008C3115"/>
    <w:rsid w:val="00915646"/>
    <w:rsid w:val="009F278E"/>
    <w:rsid w:val="00A00BC5"/>
    <w:rsid w:val="00A80B21"/>
    <w:rsid w:val="00C226E5"/>
    <w:rsid w:val="00D238AB"/>
    <w:rsid w:val="00DB371E"/>
    <w:rsid w:val="00DD54DF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00B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00BC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2663</Words>
  <Characters>18379</Characters>
  <Application>Microsoft Office Word</Application>
  <DocSecurity>0</DocSecurity>
  <Lines>153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2010-02-23T16:45:00Z</cp:lastPrinted>
  <dcterms:created xsi:type="dcterms:W3CDTF">2010-02-23T16:45:00Z</dcterms:created>
  <dcterms:modified xsi:type="dcterms:W3CDTF">2010-02-23T16:45:00Z</dcterms:modified>
</cp:coreProperties>
</file>