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0D" w:rsidRDefault="0037640D" w:rsidP="0037640D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K I V O N A T </w:t>
      </w:r>
    </w:p>
    <w:p w:rsidR="0037640D" w:rsidRDefault="0037640D" w:rsidP="0037640D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37640D" w:rsidRDefault="0037640D" w:rsidP="0037640D">
      <w:pPr>
        <w:widowControl w:val="0"/>
        <w:autoSpaceDE w:val="0"/>
        <w:autoSpaceDN w:val="0"/>
        <w:adjustRightInd w:val="0"/>
        <w:jc w:val="both"/>
      </w:pPr>
      <w:r>
        <w:t>Békés Megye Képviselő-testületének Békéscsabán, a Megyeházán (Békéscsaba, Derkovits sor 2.) 2010. április 30-án tartott ülése jegyzőkönyvéből</w:t>
      </w:r>
    </w:p>
    <w:p w:rsidR="0037640D" w:rsidRDefault="0037640D" w:rsidP="0037640D">
      <w:pPr>
        <w:widowControl w:val="0"/>
        <w:autoSpaceDE w:val="0"/>
        <w:autoSpaceDN w:val="0"/>
        <w:adjustRightInd w:val="0"/>
      </w:pPr>
    </w:p>
    <w:p w:rsidR="0037640D" w:rsidRDefault="0037640D" w:rsidP="003764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  <w:u w:val="single"/>
        </w:rPr>
        <w:t>Tárgy:</w:t>
      </w:r>
      <w:r>
        <w:rPr>
          <w:b/>
          <w:bCs/>
        </w:rPr>
        <w:t xml:space="preserve"> </w:t>
      </w:r>
      <w:r>
        <w:rPr>
          <w:b/>
          <w:bCs/>
        </w:rPr>
        <w:tab/>
        <w:t>2009. évi zárszámadásról</w:t>
      </w:r>
    </w:p>
    <w:p w:rsidR="0037640D" w:rsidRDefault="0037640D" w:rsidP="0037640D">
      <w:pPr>
        <w:widowControl w:val="0"/>
        <w:autoSpaceDE w:val="0"/>
        <w:autoSpaceDN w:val="0"/>
        <w:adjustRightInd w:val="0"/>
        <w:rPr>
          <w:b/>
          <w:bCs/>
        </w:rPr>
      </w:pPr>
    </w:p>
    <w:p w:rsidR="0037640D" w:rsidRDefault="0037640D" w:rsidP="0037640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A Képviselő-testület 24 igen szavazattal – 11 tartózkodás mellett  - az alábbi rendeletet alkotta:</w:t>
      </w:r>
    </w:p>
    <w:p w:rsidR="00FD43A5" w:rsidRDefault="00FD43A5" w:rsidP="00FD43A5">
      <w:pPr>
        <w:pStyle w:val="Cm"/>
        <w:rPr>
          <w:sz w:val="24"/>
        </w:rPr>
      </w:pPr>
      <w:r>
        <w:rPr>
          <w:sz w:val="24"/>
        </w:rPr>
        <w:t>Békés Megye Képviselő-testületének</w:t>
      </w:r>
    </w:p>
    <w:p w:rsidR="00FD43A5" w:rsidRDefault="0037640D" w:rsidP="00FD43A5">
      <w:pPr>
        <w:jc w:val="center"/>
        <w:rPr>
          <w:b/>
        </w:rPr>
      </w:pPr>
      <w:r>
        <w:rPr>
          <w:b/>
        </w:rPr>
        <w:t>5</w:t>
      </w:r>
      <w:r w:rsidR="00776440">
        <w:rPr>
          <w:b/>
        </w:rPr>
        <w:t>/20</w:t>
      </w:r>
      <w:r w:rsidR="00C35C9B">
        <w:rPr>
          <w:b/>
        </w:rPr>
        <w:t>10</w:t>
      </w:r>
      <w:r w:rsidR="00776440">
        <w:rPr>
          <w:b/>
        </w:rPr>
        <w:t xml:space="preserve">. (IV. </w:t>
      </w:r>
      <w:r w:rsidR="00C35C9B">
        <w:rPr>
          <w:b/>
        </w:rPr>
        <w:t>30</w:t>
      </w:r>
      <w:r w:rsidR="00776440">
        <w:rPr>
          <w:b/>
        </w:rPr>
        <w:t>.) KT. számú rendelete</w:t>
      </w:r>
    </w:p>
    <w:p w:rsidR="00FD43A5" w:rsidRDefault="00776440" w:rsidP="00FD43A5">
      <w:pPr>
        <w:jc w:val="center"/>
        <w:rPr>
          <w:b/>
        </w:rPr>
      </w:pPr>
      <w:r>
        <w:rPr>
          <w:b/>
        </w:rPr>
        <w:t>a 200</w:t>
      </w:r>
      <w:r w:rsidR="00C35C9B">
        <w:rPr>
          <w:b/>
        </w:rPr>
        <w:t>9</w:t>
      </w:r>
      <w:r w:rsidR="00FD43A5">
        <w:rPr>
          <w:b/>
        </w:rPr>
        <w:t>. évi zárszámadásról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pStyle w:val="Szvegtrzs"/>
      </w:pPr>
      <w:r>
        <w:t>Békés Megye Képviselő-testülete a helyi önkormányzatokról szóló 1990. évi LXV. törvény 16. § (1) bekezdésében, valamint az államháztartásról szóló 1992. évi XXXVIII. törvény 82. §-ában kap</w:t>
      </w:r>
      <w:r w:rsidR="00776440">
        <w:t>ott felhatalmazás alapján a 200</w:t>
      </w:r>
      <w:r w:rsidR="00C35C9B">
        <w:t>9</w:t>
      </w:r>
      <w:r>
        <w:t>. évi zárszámadásról a következő rendeletet alkotja.</w:t>
      </w:r>
    </w:p>
    <w:p w:rsidR="00FD43A5" w:rsidRDefault="00FD43A5" w:rsidP="00FD43A5">
      <w:pPr>
        <w:jc w:val="center"/>
        <w:rPr>
          <w:b/>
        </w:rPr>
      </w:pPr>
      <w:r>
        <w:rPr>
          <w:b/>
        </w:rPr>
        <w:t>1.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pStyle w:val="Szvegtrzs"/>
      </w:pPr>
      <w:r>
        <w:t xml:space="preserve">Békés Megye Képviselő-testülete </w:t>
      </w:r>
      <w:r w:rsidR="00776440">
        <w:t>a Békés Megyei Önkormányzat 200</w:t>
      </w:r>
      <w:r w:rsidR="00C35C9B">
        <w:t>9</w:t>
      </w:r>
      <w:r>
        <w:t>. évi költs</w:t>
      </w:r>
      <w:r w:rsidR="00327CFB">
        <w:t xml:space="preserve">égvetéséről szóló </w:t>
      </w:r>
      <w:r w:rsidR="00D04A39">
        <w:t>2</w:t>
      </w:r>
      <w:r w:rsidR="00327CFB">
        <w:t>/200</w:t>
      </w:r>
      <w:r w:rsidR="00D04A39">
        <w:t>9</w:t>
      </w:r>
      <w:r w:rsidR="00327CFB">
        <w:t xml:space="preserve">.(II. </w:t>
      </w:r>
      <w:r w:rsidR="00D04A39">
        <w:t>13</w:t>
      </w:r>
      <w:r w:rsidR="00776440">
        <w:t>.</w:t>
      </w:r>
      <w:r>
        <w:t>) KT. számú rendelet végrehajtását</w:t>
      </w:r>
    </w:p>
    <w:p w:rsidR="00FD43A5" w:rsidRDefault="00FD43A5" w:rsidP="00FD43A5">
      <w:pPr>
        <w:jc w:val="both"/>
      </w:pPr>
    </w:p>
    <w:p w:rsidR="00FD43A5" w:rsidRDefault="00327CFB" w:rsidP="00FD43A5">
      <w:pPr>
        <w:jc w:val="center"/>
        <w:rPr>
          <w:b/>
        </w:rPr>
      </w:pPr>
      <w:r w:rsidRPr="00CE701A">
        <w:rPr>
          <w:b/>
        </w:rPr>
        <w:t>3</w:t>
      </w:r>
      <w:r w:rsidR="00CE701A">
        <w:rPr>
          <w:b/>
        </w:rPr>
        <w:t>9</w:t>
      </w:r>
      <w:r w:rsidRPr="00CE701A">
        <w:rPr>
          <w:b/>
        </w:rPr>
        <w:t>.</w:t>
      </w:r>
      <w:r w:rsidR="00CE701A">
        <w:rPr>
          <w:b/>
        </w:rPr>
        <w:t>553</w:t>
      </w:r>
      <w:r w:rsidRPr="00CE701A">
        <w:rPr>
          <w:b/>
        </w:rPr>
        <w:t>.</w:t>
      </w:r>
      <w:r w:rsidR="00CE701A">
        <w:rPr>
          <w:b/>
        </w:rPr>
        <w:t>714</w:t>
      </w:r>
      <w:r w:rsidR="00FD43A5">
        <w:rPr>
          <w:b/>
        </w:rPr>
        <w:t xml:space="preserve"> E Ft bevétellel és</w:t>
      </w:r>
    </w:p>
    <w:p w:rsidR="00FD43A5" w:rsidRDefault="00CE701A" w:rsidP="00FD43A5">
      <w:pPr>
        <w:jc w:val="center"/>
        <w:rPr>
          <w:b/>
        </w:rPr>
      </w:pPr>
      <w:r>
        <w:rPr>
          <w:b/>
        </w:rPr>
        <w:t>26</w:t>
      </w:r>
      <w:r w:rsidR="00327CFB" w:rsidRPr="00CE701A">
        <w:rPr>
          <w:b/>
        </w:rPr>
        <w:t>.</w:t>
      </w:r>
      <w:r>
        <w:rPr>
          <w:b/>
        </w:rPr>
        <w:t>637</w:t>
      </w:r>
      <w:r w:rsidR="00327CFB" w:rsidRPr="00CE701A">
        <w:rPr>
          <w:b/>
        </w:rPr>
        <w:t>.</w:t>
      </w:r>
      <w:r>
        <w:rPr>
          <w:b/>
        </w:rPr>
        <w:t>038</w:t>
      </w:r>
      <w:r w:rsidR="00FD43A5">
        <w:rPr>
          <w:b/>
        </w:rPr>
        <w:t xml:space="preserve"> E Ft kiadással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pStyle w:val="Szvegtrzs"/>
      </w:pPr>
      <w:r>
        <w:t>az 1. számú mellékletben foglalt részletezés szerint jóváhagyja.</w:t>
      </w:r>
    </w:p>
    <w:p w:rsidR="00FD43A5" w:rsidRDefault="00FD43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2.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pStyle w:val="Szvegtrzs"/>
      </w:pPr>
      <w:r>
        <w:t xml:space="preserve">Békés Megye Képviselő-testülete a megyei intézmények </w:t>
      </w:r>
      <w:r w:rsidR="00327CFB">
        <w:t>és az Önkormányzati Hivatal 200</w:t>
      </w:r>
      <w:r w:rsidR="00D04A39">
        <w:t>9</w:t>
      </w:r>
      <w:r>
        <w:t>. évi bevételeit a 2. számú melléklet szerint hagyja jóvá.</w:t>
      </w:r>
    </w:p>
    <w:p w:rsidR="00FD43A5" w:rsidRDefault="00FD43A5" w:rsidP="00FD43A5">
      <w:pPr>
        <w:jc w:val="both"/>
      </w:pPr>
    </w:p>
    <w:p w:rsidR="004429AD" w:rsidRDefault="004429AD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3.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pStyle w:val="Szvegtrzs"/>
      </w:pPr>
      <w:r>
        <w:t xml:space="preserve">Békés Megye Képviselő-testülete a megyei intézmények </w:t>
      </w:r>
      <w:r w:rsidR="00327CFB">
        <w:t>és az Önkormányzati Hivatal 200</w:t>
      </w:r>
      <w:r w:rsidR="00D04A39">
        <w:t>9</w:t>
      </w:r>
      <w:r>
        <w:t>. évi kiadásait a 3. számú melléklet szerint hagyja jóvá.</w:t>
      </w:r>
    </w:p>
    <w:p w:rsidR="00FD43A5" w:rsidRDefault="00FD43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4.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jc w:val="both"/>
      </w:pPr>
      <w:r>
        <w:t xml:space="preserve">Békés Megye Képviselő-testülete az Önkormányzati Hivatal által megvalósított </w:t>
      </w:r>
      <w:r>
        <w:rPr>
          <w:b/>
        </w:rPr>
        <w:t>felhalmozási és</w:t>
      </w:r>
      <w:r w:rsidR="00327CFB">
        <w:rPr>
          <w:b/>
        </w:rPr>
        <w:t xml:space="preserve"> felújítási kiadásokat </w:t>
      </w:r>
      <w:r w:rsidR="00016FFA">
        <w:rPr>
          <w:b/>
        </w:rPr>
        <w:t>1.989.025 E Ft</w:t>
      </w:r>
      <w:r>
        <w:rPr>
          <w:b/>
        </w:rPr>
        <w:t xml:space="preserve"> </w:t>
      </w:r>
      <w:r>
        <w:t>összeggel a 4</w:t>
      </w:r>
      <w:r w:rsidR="00557A2B">
        <w:t>/a és a 4/b</w:t>
      </w:r>
      <w:r>
        <w:t>. számú melléklet</w:t>
      </w:r>
      <w:r w:rsidR="00557A2B">
        <w:t>ek</w:t>
      </w:r>
      <w:r>
        <w:t xml:space="preserve"> szerinti részletezettséggel hagyja jóvá. Az </w:t>
      </w:r>
      <w:r>
        <w:rPr>
          <w:b/>
        </w:rPr>
        <w:t xml:space="preserve">intézmények által elvégzett beruházási és felújítási kiadások </w:t>
      </w:r>
      <w:r>
        <w:t xml:space="preserve">az 5/a. és az 5/b. számú melléklet szerint kerül elfogadásra együttesen </w:t>
      </w:r>
      <w:r w:rsidR="00CE701A" w:rsidRPr="00CE701A">
        <w:rPr>
          <w:b/>
        </w:rPr>
        <w:t>920.964</w:t>
      </w:r>
      <w:r>
        <w:rPr>
          <w:b/>
        </w:rPr>
        <w:t xml:space="preserve"> E Ft </w:t>
      </w:r>
      <w:r>
        <w:t>összeggel.</w:t>
      </w:r>
    </w:p>
    <w:p w:rsidR="004429AD" w:rsidRDefault="004429AD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5. §</w:t>
      </w:r>
    </w:p>
    <w:p w:rsidR="00FD43A5" w:rsidRDefault="00FD43A5" w:rsidP="00FD43A5">
      <w:pPr>
        <w:jc w:val="both"/>
      </w:pPr>
      <w:r>
        <w:t xml:space="preserve">Békés Megye Képviselő-testülete a Megyei Önkormányzati Hivatal </w:t>
      </w:r>
      <w:r>
        <w:rPr>
          <w:b/>
        </w:rPr>
        <w:t xml:space="preserve">pénzeszköz átadásait </w:t>
      </w:r>
      <w:r w:rsidR="00CE701A">
        <w:rPr>
          <w:b/>
        </w:rPr>
        <w:t>348</w:t>
      </w:r>
      <w:r w:rsidR="00467CFC" w:rsidRPr="00CE701A">
        <w:rPr>
          <w:b/>
        </w:rPr>
        <w:t>.</w:t>
      </w:r>
      <w:r w:rsidR="00CE701A">
        <w:rPr>
          <w:b/>
        </w:rPr>
        <w:t>940</w:t>
      </w:r>
      <w:r w:rsidRPr="00467CFC">
        <w:rPr>
          <w:b/>
        </w:rPr>
        <w:t xml:space="preserve"> E Ft</w:t>
      </w:r>
      <w:r>
        <w:rPr>
          <w:b/>
        </w:rPr>
        <w:t xml:space="preserve"> </w:t>
      </w:r>
      <w:r>
        <w:t>összegben a 6. számú mellékletben meghatározott részletezettséggel hagyja jóvá.</w:t>
      </w:r>
    </w:p>
    <w:p w:rsidR="00FD43A5" w:rsidRDefault="00FD43A5" w:rsidP="00FD43A5">
      <w:pPr>
        <w:jc w:val="center"/>
        <w:rPr>
          <w:b/>
        </w:rPr>
      </w:pPr>
      <w:r>
        <w:rPr>
          <w:b/>
        </w:rPr>
        <w:t>6.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numPr>
          <w:ilvl w:val="0"/>
          <w:numId w:val="3"/>
        </w:numPr>
        <w:jc w:val="both"/>
      </w:pPr>
      <w:r>
        <w:t>Békés Megye Képviselő-test</w:t>
      </w:r>
      <w:r w:rsidR="00327CFB">
        <w:t>ülete a Megyei Önkormányzat 200</w:t>
      </w:r>
      <w:r w:rsidR="00D04A39">
        <w:t>9</w:t>
      </w:r>
      <w:r>
        <w:t xml:space="preserve">. évi </w:t>
      </w:r>
      <w:r>
        <w:rPr>
          <w:b/>
        </w:rPr>
        <w:t xml:space="preserve">pénzmaradványát </w:t>
      </w:r>
      <w:r>
        <w:t xml:space="preserve">a 7. számú melléklet szerint </w:t>
      </w:r>
      <w:r w:rsidR="00CE701A" w:rsidRPr="00016FFA">
        <w:rPr>
          <w:b/>
        </w:rPr>
        <w:t>12</w:t>
      </w:r>
      <w:r w:rsidR="00327CFB" w:rsidRPr="00016FFA">
        <w:rPr>
          <w:b/>
        </w:rPr>
        <w:t>.</w:t>
      </w:r>
      <w:r w:rsidR="00CE701A" w:rsidRPr="00016FFA">
        <w:rPr>
          <w:b/>
        </w:rPr>
        <w:t>260</w:t>
      </w:r>
      <w:r w:rsidR="00327CFB" w:rsidRPr="00016FFA">
        <w:rPr>
          <w:b/>
        </w:rPr>
        <w:t>.</w:t>
      </w:r>
      <w:r w:rsidR="00CE701A" w:rsidRPr="00016FFA">
        <w:rPr>
          <w:b/>
        </w:rPr>
        <w:t>548</w:t>
      </w:r>
      <w:r w:rsidRPr="00016FFA">
        <w:t xml:space="preserve"> </w:t>
      </w:r>
      <w:r w:rsidRPr="00016FFA">
        <w:rPr>
          <w:b/>
        </w:rPr>
        <w:t>E Ft</w:t>
      </w:r>
      <w:r>
        <w:rPr>
          <w:b/>
        </w:rPr>
        <w:t xml:space="preserve"> </w:t>
      </w:r>
      <w:r>
        <w:t>összegben fogadja el. Intézményenkénti részletezettségét a 8. számú melléklet tartalmazza.</w:t>
      </w:r>
    </w:p>
    <w:p w:rsidR="00FD43A5" w:rsidRDefault="00FD43A5" w:rsidP="00FD43A5">
      <w:pPr>
        <w:jc w:val="both"/>
      </w:pPr>
    </w:p>
    <w:p w:rsidR="00FD43A5" w:rsidRDefault="00FD43A5" w:rsidP="00FD43A5">
      <w:pPr>
        <w:numPr>
          <w:ilvl w:val="0"/>
          <w:numId w:val="3"/>
        </w:numPr>
        <w:jc w:val="both"/>
      </w:pPr>
      <w:r>
        <w:t xml:space="preserve">Békés Megye Képviselő-testülete az Önkormányzati Hivatal pénzmaradványának feladatok szerinti felosztását </w:t>
      </w:r>
      <w:r w:rsidR="00E558AB">
        <w:t xml:space="preserve">a 2010. évi költségvetési rendeletben foglaltakat is figyelembe véve, </w:t>
      </w:r>
      <w:r>
        <w:t>az alábbiak szerint hagyja jóvá:</w:t>
      </w:r>
    </w:p>
    <w:p w:rsidR="00FD43A5" w:rsidRDefault="00FD43A5" w:rsidP="00FD43A5">
      <w:pPr>
        <w:jc w:val="both"/>
      </w:pPr>
    </w:p>
    <w:p w:rsidR="00414410" w:rsidRDefault="00414410" w:rsidP="00FD43A5">
      <w:pPr>
        <w:tabs>
          <w:tab w:val="right" w:pos="8820"/>
        </w:tabs>
        <w:jc w:val="both"/>
        <w:rPr>
          <w:b/>
        </w:rPr>
      </w:pPr>
    </w:p>
    <w:p w:rsidR="00FD43A5" w:rsidRPr="00465D92" w:rsidRDefault="00465D92" w:rsidP="00FD43A5">
      <w:pPr>
        <w:tabs>
          <w:tab w:val="right" w:pos="8820"/>
        </w:tabs>
        <w:jc w:val="both"/>
        <w:rPr>
          <w:b/>
        </w:rPr>
      </w:pPr>
      <w:r w:rsidRPr="00465D92">
        <w:rPr>
          <w:b/>
        </w:rPr>
        <w:t>Működési célra:</w:t>
      </w:r>
    </w:p>
    <w:p w:rsidR="00465D92" w:rsidRDefault="009A6BEB" w:rsidP="00FD43A5">
      <w:pPr>
        <w:tabs>
          <w:tab w:val="right" w:pos="8820"/>
        </w:tabs>
        <w:jc w:val="both"/>
      </w:pPr>
      <w:r>
        <w:t xml:space="preserve">- </w:t>
      </w:r>
      <w:r w:rsidR="0004206B">
        <w:t>Egyéb működési célra:</w:t>
      </w:r>
    </w:p>
    <w:p w:rsidR="0004206B" w:rsidRDefault="0004206B" w:rsidP="00FD43A5">
      <w:pPr>
        <w:tabs>
          <w:tab w:val="right" w:pos="8820"/>
        </w:tabs>
        <w:jc w:val="both"/>
      </w:pPr>
      <w:r>
        <w:t>Programiroda támogatására</w:t>
      </w:r>
      <w:r>
        <w:tab/>
        <w:t>268.614 E Ft</w:t>
      </w:r>
    </w:p>
    <w:p w:rsidR="0004206B" w:rsidRDefault="0004206B" w:rsidP="00FD43A5">
      <w:pPr>
        <w:tabs>
          <w:tab w:val="right" w:pos="8820"/>
        </w:tabs>
        <w:jc w:val="both"/>
      </w:pPr>
      <w:r>
        <w:t>TIO működési célú önerő</w:t>
      </w:r>
      <w:r>
        <w:tab/>
        <w:t>6.944 E Ft</w:t>
      </w:r>
    </w:p>
    <w:p w:rsidR="0004206B" w:rsidRDefault="0004206B" w:rsidP="00FD43A5">
      <w:pPr>
        <w:tabs>
          <w:tab w:val="right" w:pos="8820"/>
        </w:tabs>
        <w:jc w:val="both"/>
      </w:pPr>
      <w:r>
        <w:t>Átadott pénzeszközök maradványai 2009-ről áthúzódó</w:t>
      </w:r>
    </w:p>
    <w:p w:rsidR="0004206B" w:rsidRDefault="0004206B" w:rsidP="00FD43A5">
      <w:pPr>
        <w:tabs>
          <w:tab w:val="right" w:pos="8820"/>
        </w:tabs>
        <w:jc w:val="both"/>
      </w:pPr>
      <w:r>
        <w:t>(tanulmányi verseny, olimpikonok, Bárka, Sportszövetség, civil szervezetek</w:t>
      </w:r>
      <w:r>
        <w:tab/>
        <w:t>62.600 E Ft</w:t>
      </w:r>
    </w:p>
    <w:p w:rsidR="0004206B" w:rsidRDefault="0004206B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Innováció, tudásbázis, fejlesztés, klaszterek:</w:t>
      </w:r>
    </w:p>
    <w:p w:rsidR="009A6BEB" w:rsidRDefault="009A6BEB" w:rsidP="00FD43A5">
      <w:pPr>
        <w:tabs>
          <w:tab w:val="right" w:pos="8820"/>
        </w:tabs>
        <w:jc w:val="both"/>
      </w:pPr>
      <w:r>
        <w:t>NGP kiadásaira a 357</w:t>
      </w:r>
      <w:r w:rsidR="00E558AB">
        <w:t>/</w:t>
      </w:r>
      <w:r>
        <w:t>2009.(XII.18.)KT. sz. határozat alapján</w:t>
      </w:r>
      <w:r>
        <w:tab/>
        <w:t>90.000 E Ft</w:t>
      </w:r>
    </w:p>
    <w:p w:rsidR="009A6BEB" w:rsidRDefault="009A6BEB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Kommunikáció, marketing, piacra-jutás:</w:t>
      </w:r>
    </w:p>
    <w:p w:rsidR="009A6BEB" w:rsidRDefault="009A6BEB" w:rsidP="009A6BEB">
      <w:pPr>
        <w:tabs>
          <w:tab w:val="right" w:pos="8820"/>
        </w:tabs>
        <w:jc w:val="both"/>
      </w:pPr>
      <w:r>
        <w:t>NGP kiadásaira a 357</w:t>
      </w:r>
      <w:r w:rsidR="00E558AB">
        <w:t>/</w:t>
      </w:r>
      <w:r>
        <w:t>2009.(XII.18.)KT. sz. határozat alapján</w:t>
      </w:r>
      <w:r>
        <w:tab/>
        <w:t>47.000 E Ft</w:t>
      </w:r>
    </w:p>
    <w:p w:rsidR="009A6BEB" w:rsidRDefault="009A6BEB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Pályakezdő diplomások támogatása:</w:t>
      </w:r>
    </w:p>
    <w:p w:rsidR="009A6BEB" w:rsidRDefault="009A6BEB" w:rsidP="009A6BEB">
      <w:pPr>
        <w:tabs>
          <w:tab w:val="right" w:pos="8820"/>
        </w:tabs>
        <w:jc w:val="both"/>
      </w:pPr>
      <w:r>
        <w:t>NGP kiadásaira a 357</w:t>
      </w:r>
      <w:r w:rsidR="00E558AB">
        <w:t>/</w:t>
      </w:r>
      <w:r>
        <w:t>2009.(XII.18.)KT. sz. határozat alapján</w:t>
      </w:r>
      <w:r>
        <w:tab/>
        <w:t>8.000 E Ft</w:t>
      </w:r>
    </w:p>
    <w:p w:rsidR="009A6BEB" w:rsidRDefault="009A6BEB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Közös beszerzések:</w:t>
      </w:r>
    </w:p>
    <w:p w:rsidR="009A6BEB" w:rsidRDefault="009A6BEB" w:rsidP="009A6BEB">
      <w:pPr>
        <w:tabs>
          <w:tab w:val="right" w:pos="8820"/>
        </w:tabs>
        <w:jc w:val="both"/>
      </w:pPr>
      <w:r>
        <w:t>NGP kiadásaira a 357</w:t>
      </w:r>
      <w:r w:rsidR="00E558AB">
        <w:t>/</w:t>
      </w:r>
      <w:r>
        <w:t>2009.(XII.18.)KT. sz. határozat alapján</w:t>
      </w:r>
      <w:r>
        <w:tab/>
        <w:t>20.000 E Ft</w:t>
      </w:r>
    </w:p>
    <w:p w:rsidR="00414410" w:rsidRDefault="00414410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Szakképzés, felnőttképzés, hiányszakmák:</w:t>
      </w:r>
    </w:p>
    <w:p w:rsidR="009A6BEB" w:rsidRDefault="009A6BEB" w:rsidP="009A6BEB">
      <w:pPr>
        <w:tabs>
          <w:tab w:val="right" w:pos="8820"/>
        </w:tabs>
        <w:jc w:val="both"/>
      </w:pPr>
      <w:r>
        <w:t>NGP kiadásaira a 357</w:t>
      </w:r>
      <w:r w:rsidR="00E558AB">
        <w:t>/</w:t>
      </w:r>
      <w:r>
        <w:t>2009.(XII.18.)KT. sz. határozat alapján</w:t>
      </w:r>
      <w:r>
        <w:tab/>
        <w:t>20.000 E Ft</w:t>
      </w:r>
    </w:p>
    <w:p w:rsidR="00414410" w:rsidRDefault="00414410" w:rsidP="00FD43A5">
      <w:pPr>
        <w:tabs>
          <w:tab w:val="right" w:pos="8820"/>
        </w:tabs>
        <w:jc w:val="both"/>
      </w:pPr>
    </w:p>
    <w:p w:rsidR="009A6BEB" w:rsidRDefault="009A6BEB" w:rsidP="00FD43A5">
      <w:pPr>
        <w:tabs>
          <w:tab w:val="right" w:pos="8820"/>
        </w:tabs>
        <w:jc w:val="both"/>
      </w:pPr>
      <w:r>
        <w:t>- Vállalkozásélénkítés:</w:t>
      </w:r>
    </w:p>
    <w:p w:rsidR="009A6BEB" w:rsidRPr="00414410" w:rsidRDefault="009A6BEB" w:rsidP="009A6BEB">
      <w:pPr>
        <w:tabs>
          <w:tab w:val="right" w:pos="8820"/>
        </w:tabs>
        <w:jc w:val="both"/>
        <w:rPr>
          <w:u w:val="single"/>
        </w:rPr>
      </w:pPr>
      <w:r w:rsidRPr="00414410">
        <w:rPr>
          <w:u w:val="single"/>
        </w:rPr>
        <w:t>NGP kiadásaira a 357</w:t>
      </w:r>
      <w:r w:rsidR="00E558AB">
        <w:rPr>
          <w:u w:val="single"/>
        </w:rPr>
        <w:t>/</w:t>
      </w:r>
      <w:r w:rsidRPr="00414410">
        <w:rPr>
          <w:u w:val="single"/>
        </w:rPr>
        <w:t>2009.(XII.18.)KT. sz. határozat alapján</w:t>
      </w:r>
      <w:r w:rsidRPr="00414410">
        <w:rPr>
          <w:u w:val="single"/>
        </w:rPr>
        <w:tab/>
        <w:t>15.000 E Ft</w:t>
      </w:r>
    </w:p>
    <w:p w:rsidR="00465D92" w:rsidRPr="00861610" w:rsidRDefault="00414410" w:rsidP="00FD43A5">
      <w:pPr>
        <w:tabs>
          <w:tab w:val="right" w:pos="8820"/>
        </w:tabs>
        <w:jc w:val="both"/>
        <w:rPr>
          <w:b/>
        </w:rPr>
      </w:pPr>
      <w:r w:rsidRPr="00861610">
        <w:rPr>
          <w:b/>
        </w:rPr>
        <w:t>Működési célra összesen:</w:t>
      </w:r>
      <w:r w:rsidRPr="00861610">
        <w:rPr>
          <w:b/>
        </w:rPr>
        <w:tab/>
        <w:t>538.158 E Ft</w:t>
      </w:r>
    </w:p>
    <w:p w:rsidR="00414410" w:rsidRDefault="00414410" w:rsidP="00FD43A5">
      <w:pPr>
        <w:tabs>
          <w:tab w:val="right" w:pos="8820"/>
        </w:tabs>
        <w:jc w:val="both"/>
        <w:rPr>
          <w:b/>
        </w:rPr>
      </w:pPr>
    </w:p>
    <w:p w:rsidR="00465D92" w:rsidRPr="00465D92" w:rsidRDefault="00465D92" w:rsidP="00FD43A5">
      <w:pPr>
        <w:tabs>
          <w:tab w:val="right" w:pos="8820"/>
        </w:tabs>
        <w:jc w:val="both"/>
        <w:rPr>
          <w:b/>
        </w:rPr>
      </w:pPr>
      <w:r w:rsidRPr="00465D92">
        <w:rPr>
          <w:b/>
        </w:rPr>
        <w:t>Fejlesztési célra:</w:t>
      </w:r>
    </w:p>
    <w:p w:rsidR="00822390" w:rsidRPr="00822390" w:rsidRDefault="00414410" w:rsidP="00822390">
      <w:pPr>
        <w:tabs>
          <w:tab w:val="right" w:pos="8820"/>
        </w:tabs>
        <w:ind w:right="1512"/>
        <w:jc w:val="both"/>
      </w:pPr>
      <w:r>
        <w:t xml:space="preserve">- </w:t>
      </w:r>
      <w:r w:rsidR="00822390" w:rsidRPr="00822390">
        <w:t>Kötvény befektetésből és hozamából fejlesztési célra:</w:t>
      </w:r>
    </w:p>
    <w:p w:rsidR="00465D92" w:rsidRDefault="00465D92" w:rsidP="00465D92">
      <w:pPr>
        <w:tabs>
          <w:tab w:val="right" w:pos="8820"/>
        </w:tabs>
      </w:pPr>
      <w:r>
        <w:t>Ibsen Palota</w:t>
      </w:r>
      <w:r>
        <w:tab/>
        <w:t>252.840 E Ft</w:t>
      </w:r>
    </w:p>
    <w:p w:rsidR="00465D92" w:rsidRDefault="00822390" w:rsidP="00465D92">
      <w:pPr>
        <w:tabs>
          <w:tab w:val="right" w:pos="8820"/>
        </w:tabs>
      </w:pPr>
      <w:r>
        <w:t>Repülőtér üzemeltetéséhez eszközbeszerzés, kifutópálya javítás</w:t>
      </w:r>
      <w:r>
        <w:tab/>
        <w:t>50.000 E Ft</w:t>
      </w:r>
    </w:p>
    <w:p w:rsidR="00822390" w:rsidRDefault="00822390" w:rsidP="00465D92">
      <w:pPr>
        <w:tabs>
          <w:tab w:val="right" w:pos="8820"/>
        </w:tabs>
      </w:pPr>
      <w:r>
        <w:t>TIOP TISZK Projekt</w:t>
      </w:r>
      <w:r>
        <w:tab/>
        <w:t>71.404 E Ft</w:t>
      </w:r>
    </w:p>
    <w:p w:rsidR="00822390" w:rsidRDefault="00822390" w:rsidP="00465D92">
      <w:pPr>
        <w:tabs>
          <w:tab w:val="right" w:pos="8820"/>
        </w:tabs>
      </w:pPr>
      <w:r>
        <w:t>Részvényvásárlás a Békés Megyei Vízművek Zrt-ben</w:t>
      </w:r>
      <w:r>
        <w:tab/>
        <w:t>1.008.000 E Ft</w:t>
      </w:r>
    </w:p>
    <w:p w:rsidR="00822390" w:rsidRDefault="00822390" w:rsidP="00465D92">
      <w:pPr>
        <w:tabs>
          <w:tab w:val="right" w:pos="8820"/>
        </w:tabs>
      </w:pPr>
      <w:r>
        <w:t>Pándy Kálmán Megyei Kórház Pathológiai Osztály építése</w:t>
      </w:r>
      <w:r>
        <w:tab/>
        <w:t>332.837 E Ft</w:t>
      </w:r>
    </w:p>
    <w:p w:rsidR="00822390" w:rsidRDefault="00822390" w:rsidP="00465D92">
      <w:pPr>
        <w:tabs>
          <w:tab w:val="right" w:pos="8820"/>
        </w:tabs>
      </w:pPr>
      <w:r>
        <w:t>Harruckern János Közoktatási Intézmény</w:t>
      </w:r>
      <w:r>
        <w:tab/>
        <w:t>425.179 E Ft</w:t>
      </w:r>
    </w:p>
    <w:p w:rsidR="00822390" w:rsidRDefault="00822390" w:rsidP="00465D92">
      <w:pPr>
        <w:tabs>
          <w:tab w:val="right" w:pos="8820"/>
        </w:tabs>
      </w:pPr>
      <w:r>
        <w:t>Telephely kialakítása irattározásra</w:t>
      </w:r>
      <w:r>
        <w:tab/>
        <w:t>128.024 E Ft</w:t>
      </w:r>
    </w:p>
    <w:p w:rsidR="00822390" w:rsidRDefault="00822390" w:rsidP="00465D92">
      <w:pPr>
        <w:tabs>
          <w:tab w:val="right" w:pos="8820"/>
        </w:tabs>
      </w:pPr>
      <w:r>
        <w:t>Körös-menti Szociális Centrum szarvasi konyha</w:t>
      </w:r>
      <w:r>
        <w:tab/>
        <w:t>84.000 E Ft</w:t>
      </w:r>
    </w:p>
    <w:p w:rsidR="00822390" w:rsidRDefault="00822390" w:rsidP="00465D92">
      <w:pPr>
        <w:tabs>
          <w:tab w:val="right" w:pos="8820"/>
        </w:tabs>
      </w:pPr>
      <w:r>
        <w:t>Körös-menti Szociális Centrum mezőkovácsházi konyha</w:t>
      </w:r>
      <w:r>
        <w:tab/>
        <w:t>39.000 E Ft</w:t>
      </w:r>
    </w:p>
    <w:p w:rsidR="00822390" w:rsidRDefault="00822390" w:rsidP="00465D92">
      <w:pPr>
        <w:tabs>
          <w:tab w:val="right" w:pos="8820"/>
        </w:tabs>
      </w:pPr>
      <w:r>
        <w:t>Hajnal István Szociális Centrum békési konyha</w:t>
      </w:r>
      <w:r>
        <w:tab/>
        <w:t>138.000 E Ft</w:t>
      </w:r>
    </w:p>
    <w:p w:rsidR="00822390" w:rsidRDefault="0004206B" w:rsidP="00465D92">
      <w:pPr>
        <w:tabs>
          <w:tab w:val="right" w:pos="8820"/>
        </w:tabs>
      </w:pPr>
      <w:r>
        <w:t>Hajnal István Szociális Centrum dévaványai konyha</w:t>
      </w:r>
      <w:r>
        <w:tab/>
        <w:t>90.000 E Ft</w:t>
      </w:r>
    </w:p>
    <w:p w:rsidR="0004206B" w:rsidRDefault="0004206B" w:rsidP="00465D92">
      <w:pPr>
        <w:tabs>
          <w:tab w:val="right" w:pos="8820"/>
        </w:tabs>
      </w:pPr>
      <w:r>
        <w:t>Sürgősségi Osztály korszerűsítése Pándy Kálmán Megyei Kórházban</w:t>
      </w:r>
      <w:r>
        <w:tab/>
        <w:t>46.375 E Ft</w:t>
      </w:r>
    </w:p>
    <w:p w:rsidR="0004206B" w:rsidRDefault="0004206B" w:rsidP="00465D92">
      <w:pPr>
        <w:tabs>
          <w:tab w:val="right" w:pos="8820"/>
        </w:tabs>
      </w:pPr>
      <w:r>
        <w:t xml:space="preserve">Farkas Gyula Közoktatási Intézmény </w:t>
      </w:r>
    </w:p>
    <w:p w:rsidR="0004206B" w:rsidRDefault="0004206B" w:rsidP="00465D92">
      <w:pPr>
        <w:tabs>
          <w:tab w:val="right" w:pos="8820"/>
        </w:tabs>
      </w:pPr>
      <w:r>
        <w:lastRenderedPageBreak/>
        <w:t>békési faipari tanműhely fűtéskorszerűsítése</w:t>
      </w:r>
      <w:r>
        <w:tab/>
        <w:t>3.611 E Ft</w:t>
      </w:r>
    </w:p>
    <w:p w:rsidR="0004206B" w:rsidRDefault="0004206B" w:rsidP="00465D92">
      <w:pPr>
        <w:tabs>
          <w:tab w:val="right" w:pos="8820"/>
        </w:tabs>
      </w:pPr>
      <w:r>
        <w:t>Hunyadi János Közoktatási Intézmény infrastrukturális</w:t>
      </w:r>
    </w:p>
    <w:p w:rsidR="0004206B" w:rsidRDefault="0004206B" w:rsidP="00465D92">
      <w:pPr>
        <w:tabs>
          <w:tab w:val="right" w:pos="8820"/>
        </w:tabs>
      </w:pPr>
      <w:r>
        <w:t>fejlesztése – sportudvar</w:t>
      </w:r>
      <w:r>
        <w:tab/>
        <w:t>14.913 E Ft</w:t>
      </w:r>
    </w:p>
    <w:p w:rsidR="0004206B" w:rsidRDefault="0004206B" w:rsidP="00465D92">
      <w:pPr>
        <w:tabs>
          <w:tab w:val="right" w:pos="8820"/>
        </w:tabs>
      </w:pPr>
      <w:r>
        <w:t>Önkormányzati igazgatásfejlesztés</w:t>
      </w:r>
      <w:r>
        <w:tab/>
        <w:t>13.051 E Ft</w:t>
      </w:r>
    </w:p>
    <w:p w:rsidR="0004206B" w:rsidRDefault="0004206B" w:rsidP="00465D92">
      <w:pPr>
        <w:tabs>
          <w:tab w:val="right" w:pos="8820"/>
        </w:tabs>
      </w:pPr>
      <w:r>
        <w:t>Rendezvénytér kialakítása a Repülőtéren</w:t>
      </w:r>
      <w:r>
        <w:tab/>
        <w:t>20.000 E Ft</w:t>
      </w:r>
    </w:p>
    <w:p w:rsidR="0004206B" w:rsidRDefault="0004206B" w:rsidP="00465D92">
      <w:pPr>
        <w:tabs>
          <w:tab w:val="right" w:pos="8820"/>
        </w:tabs>
      </w:pPr>
      <w:r>
        <w:t>Pándy Kálmán Megyei Kórház területén található kápolna</w:t>
      </w:r>
    </w:p>
    <w:p w:rsidR="0004206B" w:rsidRDefault="0004206B" w:rsidP="00465D92">
      <w:pPr>
        <w:tabs>
          <w:tab w:val="right" w:pos="8820"/>
        </w:tabs>
      </w:pPr>
      <w:r>
        <w:t>épületének felújítása</w:t>
      </w:r>
      <w:r>
        <w:tab/>
        <w:t>12.500 E Ft</w:t>
      </w:r>
    </w:p>
    <w:p w:rsidR="0004206B" w:rsidRDefault="0004206B" w:rsidP="00465D92">
      <w:pPr>
        <w:tabs>
          <w:tab w:val="right" w:pos="8820"/>
        </w:tabs>
      </w:pPr>
      <w:r>
        <w:t>TIOP-2.2.4 struktúraváltás a Pándy Kálmán Megyei Kórház fejlesztése</w:t>
      </w:r>
      <w:r>
        <w:tab/>
        <w:t>555.538 E Ft</w:t>
      </w:r>
    </w:p>
    <w:p w:rsidR="0004206B" w:rsidRDefault="0004206B" w:rsidP="00465D92">
      <w:pPr>
        <w:tabs>
          <w:tab w:val="right" w:pos="8820"/>
        </w:tabs>
      </w:pPr>
      <w:r>
        <w:t>A+B Expo, Közös EXPO, Közös Piac - Multifunkcionális</w:t>
      </w:r>
    </w:p>
    <w:p w:rsidR="0004206B" w:rsidRDefault="0004206B" w:rsidP="00465D92">
      <w:pPr>
        <w:tabs>
          <w:tab w:val="right" w:pos="8820"/>
        </w:tabs>
      </w:pPr>
      <w:r>
        <w:t>kiállítási központ</w:t>
      </w:r>
      <w:r>
        <w:tab/>
        <w:t>35.775 E Ft</w:t>
      </w:r>
    </w:p>
    <w:p w:rsidR="0004206B" w:rsidRDefault="0004206B" w:rsidP="00465D92">
      <w:pPr>
        <w:tabs>
          <w:tab w:val="right" w:pos="8820"/>
        </w:tabs>
      </w:pPr>
    </w:p>
    <w:p w:rsidR="00A511DF" w:rsidRDefault="00414410" w:rsidP="00FD43A5">
      <w:pPr>
        <w:tabs>
          <w:tab w:val="right" w:pos="8820"/>
        </w:tabs>
        <w:ind w:right="1512"/>
        <w:jc w:val="both"/>
      </w:pPr>
      <w:r>
        <w:t xml:space="preserve">- </w:t>
      </w:r>
      <w:r w:rsidR="00822390">
        <w:t>Egyéb pénzmaradványból fejlesztési célra:</w:t>
      </w:r>
    </w:p>
    <w:p w:rsidR="0004206B" w:rsidRDefault="0004206B" w:rsidP="00FD43A5">
      <w:pPr>
        <w:tabs>
          <w:tab w:val="right" w:pos="8820"/>
        </w:tabs>
        <w:ind w:right="1512"/>
        <w:jc w:val="both"/>
      </w:pPr>
      <w:r>
        <w:t>Közkincs hitel kamatára</w:t>
      </w:r>
      <w:r>
        <w:tab/>
        <w:t>1.159 E Ft</w:t>
      </w:r>
    </w:p>
    <w:p w:rsidR="0004206B" w:rsidRDefault="0004206B" w:rsidP="00FD43A5">
      <w:pPr>
        <w:tabs>
          <w:tab w:val="right" w:pos="8820"/>
        </w:tabs>
        <w:ind w:right="1512"/>
        <w:jc w:val="both"/>
      </w:pPr>
      <w:r>
        <w:t>Fejlesztési célú pénzeszköz átadására</w:t>
      </w:r>
    </w:p>
    <w:p w:rsidR="0004206B" w:rsidRDefault="0004206B" w:rsidP="00FD43A5">
      <w:pPr>
        <w:tabs>
          <w:tab w:val="right" w:pos="8820"/>
        </w:tabs>
        <w:ind w:right="1512"/>
        <w:jc w:val="both"/>
      </w:pPr>
      <w:r>
        <w:t>intézmények közműfejlesztési hozzájárulására és a</w:t>
      </w:r>
    </w:p>
    <w:p w:rsidR="0004206B" w:rsidRPr="00861610" w:rsidRDefault="0004206B" w:rsidP="00FD43A5">
      <w:pPr>
        <w:tabs>
          <w:tab w:val="right" w:pos="8820"/>
        </w:tabs>
        <w:ind w:right="1512"/>
        <w:jc w:val="both"/>
        <w:rPr>
          <w:u w:val="single"/>
        </w:rPr>
      </w:pPr>
      <w:r w:rsidRPr="00861610">
        <w:rPr>
          <w:u w:val="single"/>
        </w:rPr>
        <w:t>Halászati és Öntözési Kutató Intézet támogatására</w:t>
      </w:r>
      <w:r w:rsidRPr="00861610">
        <w:rPr>
          <w:u w:val="single"/>
        </w:rPr>
        <w:tab/>
        <w:t>14.000 E Ft</w:t>
      </w:r>
    </w:p>
    <w:p w:rsidR="0004206B" w:rsidRPr="00861610" w:rsidRDefault="00414410" w:rsidP="00FD43A5">
      <w:pPr>
        <w:tabs>
          <w:tab w:val="right" w:pos="8820"/>
        </w:tabs>
        <w:ind w:right="1512"/>
        <w:jc w:val="both"/>
        <w:rPr>
          <w:b/>
        </w:rPr>
      </w:pPr>
      <w:r w:rsidRPr="00861610">
        <w:rPr>
          <w:b/>
        </w:rPr>
        <w:t>Fejlesztési célra összesen:</w:t>
      </w:r>
      <w:r w:rsidRPr="00861610">
        <w:rPr>
          <w:b/>
        </w:rPr>
        <w:tab/>
        <w:t>3.336.206 E Ft</w:t>
      </w:r>
    </w:p>
    <w:p w:rsidR="00414410" w:rsidRPr="00E558AB" w:rsidRDefault="00E558AB" w:rsidP="00FD43A5">
      <w:pPr>
        <w:tabs>
          <w:tab w:val="right" w:pos="8820"/>
        </w:tabs>
        <w:ind w:right="1512"/>
        <w:jc w:val="both"/>
        <w:rPr>
          <w:b/>
        </w:rPr>
      </w:pPr>
      <w:r w:rsidRPr="00E558AB">
        <w:rPr>
          <w:b/>
        </w:rPr>
        <w:t>Mindösszesen</w:t>
      </w:r>
      <w:r w:rsidR="00414410" w:rsidRPr="00E558AB">
        <w:rPr>
          <w:b/>
        </w:rPr>
        <w:t>:</w:t>
      </w:r>
      <w:r w:rsidR="00414410" w:rsidRPr="00E558AB">
        <w:rPr>
          <w:b/>
        </w:rPr>
        <w:tab/>
        <w:t>3.874.364 E Ft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</w:p>
    <w:p w:rsidR="00414410" w:rsidRPr="007838CC" w:rsidRDefault="00414410" w:rsidP="00FD43A5">
      <w:pPr>
        <w:tabs>
          <w:tab w:val="right" w:pos="8820"/>
        </w:tabs>
        <w:ind w:right="1512"/>
        <w:jc w:val="both"/>
        <w:rPr>
          <w:b/>
        </w:rPr>
      </w:pPr>
      <w:r w:rsidRPr="007838CC">
        <w:rPr>
          <w:b/>
        </w:rPr>
        <w:t>Működési célra:</w:t>
      </w:r>
    </w:p>
    <w:p w:rsidR="00414410" w:rsidRDefault="00D04573" w:rsidP="00FD43A5">
      <w:pPr>
        <w:tabs>
          <w:tab w:val="right" w:pos="8820"/>
        </w:tabs>
        <w:ind w:right="1512"/>
        <w:jc w:val="both"/>
      </w:pPr>
      <w:r>
        <w:t>- Egyéb működési célra:</w:t>
      </w:r>
    </w:p>
    <w:p w:rsidR="00D04573" w:rsidRDefault="00D04573" w:rsidP="00FD43A5">
      <w:pPr>
        <w:tabs>
          <w:tab w:val="right" w:pos="8820"/>
        </w:tabs>
        <w:ind w:right="1512"/>
        <w:jc w:val="both"/>
      </w:pPr>
      <w:r>
        <w:t>TISZK TÁMOP számla egyenlege 2009.12.31</w:t>
      </w:r>
    </w:p>
    <w:p w:rsidR="00D04573" w:rsidRDefault="00D04573" w:rsidP="00FD43A5">
      <w:pPr>
        <w:tabs>
          <w:tab w:val="right" w:pos="8820"/>
        </w:tabs>
        <w:ind w:right="1512"/>
        <w:jc w:val="both"/>
      </w:pPr>
      <w:r>
        <w:t>felhasználás 2010. évben működési célra</w:t>
      </w:r>
      <w:r>
        <w:tab/>
        <w:t>71.321 E Ft</w:t>
      </w:r>
    </w:p>
    <w:p w:rsidR="00D04573" w:rsidRDefault="00D04573" w:rsidP="00FD43A5">
      <w:pPr>
        <w:tabs>
          <w:tab w:val="right" w:pos="8820"/>
        </w:tabs>
        <w:ind w:right="1512"/>
        <w:jc w:val="both"/>
      </w:pPr>
      <w:r>
        <w:t>TÁMOP 3.1.4 Kompetencia alapú számla nyitóegyenlege</w:t>
      </w:r>
      <w:r>
        <w:tab/>
        <w:t>25.446 E Ft</w:t>
      </w:r>
    </w:p>
    <w:p w:rsidR="00D04573" w:rsidRDefault="000715D2" w:rsidP="00FD43A5">
      <w:pPr>
        <w:tabs>
          <w:tab w:val="right" w:pos="8820"/>
        </w:tabs>
        <w:ind w:right="1512"/>
        <w:jc w:val="both"/>
      </w:pPr>
      <w:r>
        <w:t>Működési célú pénzeszköz átadások áthúzódása 2010. évre</w:t>
      </w: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 xml:space="preserve">(alapítványok és civil pályázatok, bizottsági mecenatúra, </w:t>
      </w: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>Brüsszeli Iroda, BMVA klasztermenedzsment)</w:t>
      </w:r>
      <w:r>
        <w:tab/>
        <w:t>46.252 E Ft</w:t>
      </w: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>Személyi juttatás és járulékainak maradványa 2009. évről</w:t>
      </w:r>
      <w:r>
        <w:tab/>
        <w:t>79.329 E Ft</w:t>
      </w: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>Működési célú pályázati saját erő biztosítására</w:t>
      </w:r>
      <w:r>
        <w:tab/>
        <w:t>40.000 E Ft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Áremelkedések ellentételezésére és közös beszerzésekre</w:t>
      </w:r>
      <w:r>
        <w:tab/>
        <w:t>40.000 E Ft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A Kormány által kötelezővé tett, nem kifizetett feladatokra</w:t>
      </w:r>
      <w:r>
        <w:tab/>
      </w:r>
      <w:r w:rsidR="00DE01AF">
        <w:t>300</w:t>
      </w:r>
      <w:r>
        <w:t>.</w:t>
      </w:r>
      <w:r w:rsidR="00DE01AF">
        <w:t>000</w:t>
      </w:r>
      <w:r>
        <w:t xml:space="preserve"> E Ft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Átszervezésre, intézményi kötelező feladatok ellátására</w:t>
      </w:r>
      <w:r>
        <w:tab/>
      </w:r>
      <w:r w:rsidR="00DA07C7">
        <w:t>4</w:t>
      </w:r>
      <w:r w:rsidR="00DE01AF">
        <w:t>00</w:t>
      </w:r>
      <w:r>
        <w:t>.</w:t>
      </w:r>
      <w:r w:rsidR="00DE01AF">
        <w:t>000</w:t>
      </w:r>
      <w:r>
        <w:t xml:space="preserve"> E Ft</w:t>
      </w:r>
    </w:p>
    <w:p w:rsidR="00DE01AF" w:rsidRDefault="00DE01AF" w:rsidP="00FD43A5">
      <w:pPr>
        <w:tabs>
          <w:tab w:val="right" w:pos="8820"/>
        </w:tabs>
        <w:ind w:right="1512"/>
        <w:jc w:val="both"/>
      </w:pPr>
      <w:r>
        <w:t>Pro</w:t>
      </w:r>
      <w:r w:rsidR="009B66ED">
        <w:t>jekt</w:t>
      </w:r>
      <w:r>
        <w:t>finanszírozás</w:t>
      </w:r>
      <w:r>
        <w:tab/>
        <w:t>50.000 E Ft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Intézmények által kezdeményezett, takarékosságot szolgáló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egyszeri intézkedésekre</w:t>
      </w:r>
      <w:r>
        <w:tab/>
        <w:t>60.000 E Ft</w:t>
      </w:r>
    </w:p>
    <w:p w:rsidR="00D15D88" w:rsidRDefault="00D15D88" w:rsidP="00FD43A5">
      <w:pPr>
        <w:tabs>
          <w:tab w:val="right" w:pos="8820"/>
        </w:tabs>
        <w:ind w:right="1512"/>
        <w:jc w:val="both"/>
      </w:pPr>
      <w:r>
        <w:t>Pályázati döntések előkészítésére</w:t>
      </w:r>
      <w:r>
        <w:tab/>
        <w:t>100.000 E Ft</w:t>
      </w:r>
    </w:p>
    <w:p w:rsidR="000715D2" w:rsidRDefault="00DE01AF" w:rsidP="00FD43A5">
      <w:pPr>
        <w:tabs>
          <w:tab w:val="right" w:pos="8820"/>
        </w:tabs>
        <w:ind w:right="1512"/>
        <w:jc w:val="both"/>
      </w:pPr>
      <w:r>
        <w:t>Általános tartalék működésre</w:t>
      </w:r>
      <w:r>
        <w:tab/>
        <w:t>70.000 E Ft</w:t>
      </w:r>
    </w:p>
    <w:p w:rsidR="00DE01AF" w:rsidRDefault="00DE01AF" w:rsidP="00FD43A5">
      <w:pPr>
        <w:tabs>
          <w:tab w:val="right" w:pos="8820"/>
        </w:tabs>
        <w:ind w:right="1512"/>
        <w:jc w:val="both"/>
      </w:pP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>NGP 2009. évről áthúzódó maradványából</w:t>
      </w:r>
      <w:r w:rsidR="00861610" w:rsidRPr="00861610">
        <w:t xml:space="preserve"> </w:t>
      </w:r>
      <w:r w:rsidR="00861610">
        <w:t>felhasználás 2010. évben:</w:t>
      </w:r>
    </w:p>
    <w:p w:rsidR="00861610" w:rsidRDefault="00861610" w:rsidP="00861610">
      <w:pPr>
        <w:tabs>
          <w:tab w:val="right" w:pos="8820"/>
        </w:tabs>
        <w:ind w:right="1512"/>
        <w:jc w:val="both"/>
      </w:pPr>
      <w:r>
        <w:t>- Civil szervezetek támogatása pályázat útján</w:t>
      </w:r>
      <w:r>
        <w:tab/>
        <w:t>32.850 E Ft</w:t>
      </w:r>
    </w:p>
    <w:p w:rsidR="00861610" w:rsidRDefault="004D0F5A" w:rsidP="00861610">
      <w:pPr>
        <w:tabs>
          <w:tab w:val="right" w:pos="8820"/>
        </w:tabs>
        <w:ind w:right="1512"/>
        <w:jc w:val="both"/>
      </w:pPr>
      <w:r>
        <w:t>- Innováció, tud</w:t>
      </w:r>
      <w:r w:rsidR="00861610">
        <w:t>ásbázis, fejlesztés, klaszterek</w:t>
      </w:r>
      <w:r w:rsidR="00861610">
        <w:tab/>
        <w:t>66.875 E Ft</w:t>
      </w:r>
    </w:p>
    <w:p w:rsidR="00861610" w:rsidRDefault="004D0F5A" w:rsidP="00861610">
      <w:pPr>
        <w:tabs>
          <w:tab w:val="right" w:pos="8820"/>
        </w:tabs>
        <w:ind w:right="1512"/>
        <w:jc w:val="both"/>
      </w:pPr>
      <w:r>
        <w:t>- Kommunikáció, marketing, piacra-jutás</w:t>
      </w:r>
      <w:r w:rsidR="00861610">
        <w:tab/>
        <w:t>55.185 E Ft</w:t>
      </w:r>
    </w:p>
    <w:p w:rsidR="00861610" w:rsidRDefault="004D0F5A" w:rsidP="00861610">
      <w:pPr>
        <w:tabs>
          <w:tab w:val="right" w:pos="8820"/>
        </w:tabs>
        <w:ind w:right="1512"/>
        <w:jc w:val="both"/>
      </w:pPr>
      <w:r>
        <w:t>- P</w:t>
      </w:r>
      <w:r w:rsidR="00861610">
        <w:t>ályakezdő diplomások támogatása</w:t>
      </w:r>
      <w:r w:rsidR="00861610">
        <w:tab/>
        <w:t>10.000 E Ft</w:t>
      </w:r>
    </w:p>
    <w:p w:rsidR="00861610" w:rsidRPr="00861610" w:rsidRDefault="000715D2" w:rsidP="00861610">
      <w:pPr>
        <w:tabs>
          <w:tab w:val="right" w:pos="8820"/>
        </w:tabs>
        <w:ind w:right="1512"/>
        <w:jc w:val="both"/>
        <w:rPr>
          <w:u w:val="single"/>
        </w:rPr>
      </w:pPr>
      <w:r w:rsidRPr="00861610">
        <w:rPr>
          <w:u w:val="single"/>
        </w:rPr>
        <w:t>- Érdekképviselet és koordináció</w:t>
      </w:r>
      <w:r w:rsidR="00861610" w:rsidRPr="00861610">
        <w:rPr>
          <w:u w:val="single"/>
        </w:rPr>
        <w:tab/>
        <w:t>3.000 E Ft</w:t>
      </w:r>
    </w:p>
    <w:p w:rsidR="000715D2" w:rsidRPr="00861610" w:rsidRDefault="006F6CC2" w:rsidP="00FD43A5">
      <w:pPr>
        <w:tabs>
          <w:tab w:val="right" w:pos="8820"/>
        </w:tabs>
        <w:ind w:right="1512"/>
        <w:jc w:val="both"/>
        <w:rPr>
          <w:b/>
        </w:rPr>
      </w:pPr>
      <w:r w:rsidRPr="00861610">
        <w:rPr>
          <w:b/>
        </w:rPr>
        <w:t>Működési célra összesen:</w:t>
      </w:r>
      <w:r w:rsidRPr="00861610">
        <w:rPr>
          <w:b/>
        </w:rPr>
        <w:tab/>
        <w:t>1.</w:t>
      </w:r>
      <w:r w:rsidR="00DA07C7">
        <w:rPr>
          <w:b/>
        </w:rPr>
        <w:t>4</w:t>
      </w:r>
      <w:r w:rsidR="004429AD" w:rsidRPr="00861610">
        <w:rPr>
          <w:b/>
        </w:rPr>
        <w:t>50</w:t>
      </w:r>
      <w:r w:rsidR="00557A2B" w:rsidRPr="00861610">
        <w:rPr>
          <w:b/>
        </w:rPr>
        <w:t>.</w:t>
      </w:r>
      <w:r w:rsidR="004429AD" w:rsidRPr="00861610">
        <w:rPr>
          <w:b/>
        </w:rPr>
        <w:t>258</w:t>
      </w:r>
      <w:r w:rsidRPr="00861610">
        <w:rPr>
          <w:b/>
        </w:rPr>
        <w:t xml:space="preserve"> E Ft</w:t>
      </w:r>
    </w:p>
    <w:p w:rsidR="006F6CC2" w:rsidRPr="00861610" w:rsidRDefault="006F6CC2" w:rsidP="00FD43A5">
      <w:pPr>
        <w:tabs>
          <w:tab w:val="right" w:pos="8820"/>
        </w:tabs>
        <w:ind w:right="1512"/>
        <w:jc w:val="both"/>
        <w:rPr>
          <w:b/>
        </w:rPr>
      </w:pPr>
    </w:p>
    <w:p w:rsidR="00DE01AF" w:rsidRDefault="00DE01AF" w:rsidP="00FD43A5">
      <w:pPr>
        <w:tabs>
          <w:tab w:val="right" w:pos="8820"/>
        </w:tabs>
        <w:ind w:right="1512"/>
        <w:jc w:val="both"/>
        <w:rPr>
          <w:b/>
        </w:rPr>
      </w:pPr>
    </w:p>
    <w:p w:rsidR="00DE01AF" w:rsidRDefault="00DE01AF" w:rsidP="00FD43A5">
      <w:pPr>
        <w:tabs>
          <w:tab w:val="right" w:pos="8820"/>
        </w:tabs>
        <w:ind w:right="1512"/>
        <w:jc w:val="both"/>
        <w:rPr>
          <w:b/>
        </w:rPr>
      </w:pPr>
    </w:p>
    <w:p w:rsidR="00414410" w:rsidRPr="007838CC" w:rsidRDefault="00414410" w:rsidP="00FD43A5">
      <w:pPr>
        <w:tabs>
          <w:tab w:val="right" w:pos="8820"/>
        </w:tabs>
        <w:ind w:right="1512"/>
        <w:jc w:val="both"/>
        <w:rPr>
          <w:b/>
        </w:rPr>
      </w:pPr>
      <w:r w:rsidRPr="007838CC">
        <w:rPr>
          <w:b/>
        </w:rPr>
        <w:t>Fejlesztési célra:</w:t>
      </w:r>
    </w:p>
    <w:p w:rsidR="007838CC" w:rsidRDefault="007838CC" w:rsidP="00414410">
      <w:pPr>
        <w:tabs>
          <w:tab w:val="right" w:pos="8820"/>
        </w:tabs>
        <w:ind w:right="1512"/>
        <w:jc w:val="both"/>
      </w:pPr>
    </w:p>
    <w:p w:rsidR="00414410" w:rsidRPr="00822390" w:rsidRDefault="00414410" w:rsidP="00414410">
      <w:pPr>
        <w:tabs>
          <w:tab w:val="right" w:pos="8820"/>
        </w:tabs>
        <w:ind w:right="1512"/>
        <w:jc w:val="both"/>
      </w:pPr>
      <w:r>
        <w:t xml:space="preserve">- </w:t>
      </w:r>
      <w:r w:rsidRPr="00822390">
        <w:t>Kötvény befektetésből és hozamából fejlesztési célra: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  <w:r>
        <w:lastRenderedPageBreak/>
        <w:t>Kötvényhozamból Fedezeti Kockázati Tartalék 2009-ről</w:t>
      </w:r>
      <w:r>
        <w:tab/>
        <w:t>350.013 E Ft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  <w:r>
        <w:t xml:space="preserve">Kötvényhozamból Fedezeti Kockázati Tartalék feltöltés a kibocsájtás 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  <w:r>
        <w:t>10 %-os mértékéig plusz 100.000 E Ft</w:t>
      </w:r>
      <w:r>
        <w:tab/>
        <w:t>689.987 E Ft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  <w:r>
        <w:t xml:space="preserve">Elő-takarékossági Felkészülési Tartalék (Jókai Színház </w:t>
      </w:r>
    </w:p>
    <w:p w:rsidR="00414410" w:rsidRDefault="00414410" w:rsidP="00FD43A5">
      <w:pPr>
        <w:tabs>
          <w:tab w:val="right" w:pos="8820"/>
        </w:tabs>
        <w:ind w:right="1512"/>
        <w:jc w:val="both"/>
      </w:pPr>
      <w:r>
        <w:t>Porondszínház kialakítása</w:t>
      </w:r>
      <w:r w:rsidR="00861610">
        <w:t>, bérleti díjakból</w:t>
      </w:r>
      <w:r>
        <w:t>)</w:t>
      </w:r>
      <w:r>
        <w:tab/>
      </w:r>
      <w:r w:rsidR="00861610">
        <w:t>33</w:t>
      </w:r>
      <w:r>
        <w:t>.</w:t>
      </w:r>
      <w:r w:rsidR="00861610">
        <w:t>765</w:t>
      </w:r>
      <w:r>
        <w:t xml:space="preserve"> E Ft</w:t>
      </w:r>
    </w:p>
    <w:p w:rsidR="00414410" w:rsidRDefault="000715D2" w:rsidP="00FD43A5">
      <w:pPr>
        <w:tabs>
          <w:tab w:val="right" w:pos="8820"/>
        </w:tabs>
        <w:ind w:right="1512"/>
        <w:jc w:val="both"/>
      </w:pPr>
      <w:r>
        <w:t>Pándy Kálmán Megyei Kórház új Pathológiai Osztály építése</w:t>
      </w:r>
      <w:r>
        <w:tab/>
        <w:t>2.962 E Ft</w:t>
      </w:r>
    </w:p>
    <w:p w:rsidR="000715D2" w:rsidRDefault="000715D2" w:rsidP="00FD43A5">
      <w:pPr>
        <w:tabs>
          <w:tab w:val="right" w:pos="8820"/>
        </w:tabs>
        <w:ind w:right="1512"/>
        <w:jc w:val="both"/>
      </w:pPr>
      <w:r>
        <w:t>Pándy Kálmán Megyei Kórház területén található kápolna felújítására</w:t>
      </w:r>
      <w:r>
        <w:tab/>
        <w:t>1.500 E Ft</w:t>
      </w:r>
    </w:p>
    <w:p w:rsidR="000715D2" w:rsidRDefault="00D15D88" w:rsidP="00FD43A5">
      <w:pPr>
        <w:tabs>
          <w:tab w:val="right" w:pos="8820"/>
        </w:tabs>
        <w:ind w:right="1512"/>
        <w:jc w:val="both"/>
      </w:pPr>
      <w:r>
        <w:t>Döntéssel lekötött kötvénybefektetés</w:t>
      </w:r>
      <w:r w:rsidR="009C2476">
        <w:t>ből származtatott forrás</w:t>
      </w:r>
      <w:r w:rsidR="006F6CC2">
        <w:tab/>
        <w:t>4.820.097 E Ft</w:t>
      </w:r>
    </w:p>
    <w:p w:rsidR="006F6CC2" w:rsidRDefault="006F6CC2" w:rsidP="00FD43A5">
      <w:pPr>
        <w:tabs>
          <w:tab w:val="right" w:pos="8820"/>
        </w:tabs>
        <w:ind w:right="1512"/>
        <w:jc w:val="both"/>
      </w:pPr>
    </w:p>
    <w:p w:rsidR="00414410" w:rsidRDefault="007838CC" w:rsidP="00FD43A5">
      <w:pPr>
        <w:tabs>
          <w:tab w:val="right" w:pos="8820"/>
        </w:tabs>
        <w:ind w:right="1512"/>
        <w:jc w:val="both"/>
      </w:pPr>
      <w:r>
        <w:t>- Egyéb pénzmaradványból fejlesztési célra:</w:t>
      </w:r>
    </w:p>
    <w:p w:rsidR="007838CC" w:rsidRDefault="007838CC" w:rsidP="007838CC">
      <w:pPr>
        <w:tabs>
          <w:tab w:val="right" w:pos="8820"/>
        </w:tabs>
        <w:ind w:right="1512"/>
        <w:jc w:val="both"/>
      </w:pPr>
      <w:r>
        <w:t>Szakképzési hozzájárulás</w:t>
      </w:r>
      <w:r w:rsidR="00861610">
        <w:t>ra</w:t>
      </w:r>
    </w:p>
    <w:p w:rsidR="007838CC" w:rsidRDefault="007838CC" w:rsidP="007838CC">
      <w:pPr>
        <w:tabs>
          <w:tab w:val="right" w:pos="8820"/>
        </w:tabs>
        <w:ind w:right="1512"/>
        <w:jc w:val="both"/>
      </w:pPr>
      <w:r>
        <w:t>(intézményeknek felügyeleti szervi támogatásként átadandó 2010. évben</w:t>
      </w:r>
      <w:r>
        <w:tab/>
        <w:t>50.153 E Ft</w:t>
      </w:r>
    </w:p>
    <w:p w:rsidR="007838CC" w:rsidRDefault="00D04573" w:rsidP="007838CC">
      <w:pPr>
        <w:tabs>
          <w:tab w:val="right" w:pos="8820"/>
        </w:tabs>
        <w:ind w:right="1512"/>
        <w:jc w:val="both"/>
      </w:pPr>
      <w:r>
        <w:t xml:space="preserve">TISZK </w:t>
      </w:r>
      <w:r w:rsidR="00861610">
        <w:t>TIOP</w:t>
      </w:r>
    </w:p>
    <w:p w:rsidR="00D04573" w:rsidRDefault="00D04573" w:rsidP="007838CC">
      <w:pPr>
        <w:tabs>
          <w:tab w:val="right" w:pos="8820"/>
        </w:tabs>
        <w:ind w:right="1512"/>
        <w:jc w:val="both"/>
      </w:pPr>
      <w:r>
        <w:t>felhasználás 2010. évben fejlesztési célra</w:t>
      </w:r>
      <w:r>
        <w:tab/>
        <w:t>197.910 E Ft</w:t>
      </w:r>
    </w:p>
    <w:p w:rsidR="00D04573" w:rsidRDefault="00861610" w:rsidP="007838CC">
      <w:pPr>
        <w:tabs>
          <w:tab w:val="right" w:pos="8820"/>
        </w:tabs>
        <w:ind w:right="1512"/>
        <w:jc w:val="both"/>
      </w:pPr>
      <w:r>
        <w:t xml:space="preserve">Fejlesztési </w:t>
      </w:r>
      <w:r w:rsidR="000715D2">
        <w:t>Pályázati saját erő fedezetére</w:t>
      </w:r>
      <w:r w:rsidR="000715D2">
        <w:tab/>
        <w:t>40.000 E Ft</w:t>
      </w:r>
    </w:p>
    <w:p w:rsidR="000715D2" w:rsidRDefault="000715D2" w:rsidP="007838CC">
      <w:pPr>
        <w:tabs>
          <w:tab w:val="right" w:pos="8820"/>
        </w:tabs>
        <w:ind w:right="1512"/>
        <w:jc w:val="both"/>
      </w:pPr>
      <w:r>
        <w:t>Takarékosság</w:t>
      </w:r>
      <w:r w:rsidR="00861610">
        <w:t>i intézkedések miatti intézményi</w:t>
      </w:r>
      <w:r>
        <w:t xml:space="preserve"> fejlesztésére</w:t>
      </w:r>
      <w:r>
        <w:tab/>
        <w:t>70.000 E Ft</w:t>
      </w:r>
    </w:p>
    <w:p w:rsidR="000715D2" w:rsidRPr="00557A2B" w:rsidRDefault="000715D2" w:rsidP="007838CC">
      <w:pPr>
        <w:tabs>
          <w:tab w:val="right" w:pos="8820"/>
        </w:tabs>
        <w:ind w:right="1512"/>
        <w:jc w:val="both"/>
        <w:rPr>
          <w:u w:val="single"/>
        </w:rPr>
      </w:pPr>
      <w:r w:rsidRPr="00557A2B">
        <w:rPr>
          <w:u w:val="single"/>
        </w:rPr>
        <w:t>Általános tartalék fejlesztési célra</w:t>
      </w:r>
      <w:r w:rsidRPr="00557A2B">
        <w:rPr>
          <w:u w:val="single"/>
        </w:rPr>
        <w:tab/>
        <w:t>10.917 E Ft</w:t>
      </w:r>
    </w:p>
    <w:p w:rsidR="000715D2" w:rsidRPr="00861610" w:rsidRDefault="006F6CC2" w:rsidP="007838CC">
      <w:pPr>
        <w:tabs>
          <w:tab w:val="right" w:pos="8820"/>
        </w:tabs>
        <w:ind w:right="1512"/>
        <w:jc w:val="both"/>
        <w:rPr>
          <w:b/>
        </w:rPr>
      </w:pPr>
      <w:r w:rsidRPr="00861610">
        <w:rPr>
          <w:b/>
        </w:rPr>
        <w:t>Fejlesztési célra összesen:</w:t>
      </w:r>
      <w:r w:rsidR="00DA07C7">
        <w:rPr>
          <w:b/>
        </w:rPr>
        <w:tab/>
        <w:t>6.2</w:t>
      </w:r>
      <w:r w:rsidR="004429AD" w:rsidRPr="00861610">
        <w:rPr>
          <w:b/>
        </w:rPr>
        <w:t>67</w:t>
      </w:r>
      <w:r w:rsidR="00557A2B" w:rsidRPr="00861610">
        <w:rPr>
          <w:b/>
        </w:rPr>
        <w:t>.304 E Ft</w:t>
      </w:r>
    </w:p>
    <w:p w:rsidR="007838CC" w:rsidRPr="006F6CC2" w:rsidRDefault="006F6CC2" w:rsidP="00FD43A5">
      <w:pPr>
        <w:tabs>
          <w:tab w:val="right" w:pos="8820"/>
        </w:tabs>
        <w:ind w:right="1512"/>
        <w:jc w:val="both"/>
        <w:rPr>
          <w:b/>
        </w:rPr>
      </w:pPr>
      <w:r w:rsidRPr="004429AD">
        <w:rPr>
          <w:b/>
        </w:rPr>
        <w:t>Mindösszesen:</w:t>
      </w:r>
      <w:r w:rsidR="004429AD">
        <w:rPr>
          <w:b/>
        </w:rPr>
        <w:tab/>
      </w:r>
      <w:r w:rsidR="004429AD" w:rsidRPr="00016FFA">
        <w:rPr>
          <w:b/>
        </w:rPr>
        <w:t>11.591.926 E Ft</w:t>
      </w:r>
    </w:p>
    <w:p w:rsidR="00861610" w:rsidRDefault="00861610" w:rsidP="00FD43A5">
      <w:pPr>
        <w:tabs>
          <w:tab w:val="right" w:pos="8820"/>
        </w:tabs>
        <w:ind w:right="-108"/>
        <w:jc w:val="center"/>
        <w:rPr>
          <w:b/>
        </w:rPr>
      </w:pPr>
    </w:p>
    <w:p w:rsidR="00861610" w:rsidRDefault="00861610" w:rsidP="00FD43A5">
      <w:pPr>
        <w:tabs>
          <w:tab w:val="right" w:pos="8820"/>
        </w:tabs>
        <w:ind w:right="-108"/>
        <w:jc w:val="center"/>
        <w:rPr>
          <w:b/>
        </w:rPr>
      </w:pPr>
    </w:p>
    <w:p w:rsidR="00FD43A5" w:rsidRDefault="00FD43A5" w:rsidP="00FD43A5">
      <w:pPr>
        <w:tabs>
          <w:tab w:val="right" w:pos="8820"/>
        </w:tabs>
        <w:ind w:right="-108"/>
        <w:jc w:val="center"/>
        <w:rPr>
          <w:b/>
        </w:rPr>
      </w:pPr>
      <w:r>
        <w:rPr>
          <w:b/>
        </w:rPr>
        <w:t>7. §</w:t>
      </w:r>
    </w:p>
    <w:p w:rsidR="00FD43A5" w:rsidRDefault="00FD43A5" w:rsidP="00FD43A5">
      <w:pPr>
        <w:tabs>
          <w:tab w:val="right" w:pos="8820"/>
        </w:tabs>
        <w:ind w:right="1512"/>
        <w:jc w:val="both"/>
      </w:pPr>
    </w:p>
    <w:p w:rsidR="00FD43A5" w:rsidRDefault="00FD43A5" w:rsidP="00FD43A5">
      <w:pPr>
        <w:jc w:val="both"/>
      </w:pPr>
      <w:r>
        <w:t xml:space="preserve">Békés </w:t>
      </w:r>
      <w:r w:rsidR="00761460">
        <w:t>Megye Képviselő-testülete a 200</w:t>
      </w:r>
      <w:r w:rsidR="00DE4606">
        <w:t>9</w:t>
      </w:r>
      <w:r>
        <w:t xml:space="preserve">. évi </w:t>
      </w:r>
      <w:r>
        <w:rPr>
          <w:b/>
        </w:rPr>
        <w:t>vállalkozá</w:t>
      </w:r>
      <w:r w:rsidR="00761460">
        <w:rPr>
          <w:b/>
        </w:rPr>
        <w:t xml:space="preserve">si tevékenység eredményét </w:t>
      </w:r>
      <w:r>
        <w:t>a 9. számú melléklet szerinti egyszerűsített eredmény-kimutatás alapján hagyja jóvá.</w:t>
      </w:r>
    </w:p>
    <w:p w:rsidR="00FD43A5" w:rsidRDefault="00FD43A5" w:rsidP="00FD43A5">
      <w:pPr>
        <w:jc w:val="both"/>
      </w:pPr>
    </w:p>
    <w:p w:rsidR="00FD43A5" w:rsidRDefault="00FD43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8.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jc w:val="both"/>
      </w:pPr>
      <w:r>
        <w:t xml:space="preserve">Békés Megye Képviselő - testülete a Megyei Önkormányzat </w:t>
      </w:r>
      <w:r w:rsidR="00761460">
        <w:rPr>
          <w:b/>
        </w:rPr>
        <w:t>vagyonának 200</w:t>
      </w:r>
      <w:r w:rsidR="00DE4606">
        <w:rPr>
          <w:b/>
        </w:rPr>
        <w:t>9</w:t>
      </w:r>
      <w:r>
        <w:rPr>
          <w:b/>
        </w:rPr>
        <w:t>. december</w:t>
      </w:r>
      <w:r w:rsidR="00DE4606">
        <w:rPr>
          <w:b/>
        </w:rPr>
        <w:t xml:space="preserve"> </w:t>
      </w:r>
      <w:r>
        <w:rPr>
          <w:b/>
        </w:rPr>
        <w:t xml:space="preserve">31-i értékét </w:t>
      </w:r>
      <w:r>
        <w:t>a 10. számú melléklet szerinti részletezéssel, az önkormányzat vagyonát törzsvagyon, illetve törzsvagyonon kívüli bontásban a 11/a. számú mellékletben foglaltak szerint fogadja el. A Békés Megyei Önkormányzat 0-ra leírt használatban lévő és használaton kívüli eszközei a 11/b. számú melléklet szerint kerülnek elfogadásra.</w:t>
      </w:r>
    </w:p>
    <w:p w:rsidR="00FD43A5" w:rsidRDefault="00FD43A5" w:rsidP="00FD43A5">
      <w:pPr>
        <w:jc w:val="both"/>
      </w:pPr>
    </w:p>
    <w:p w:rsidR="006121A5" w:rsidRDefault="006121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9.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jc w:val="both"/>
      </w:pPr>
      <w:r>
        <w:t xml:space="preserve">Békés Megye Képviselő-testülete a Megyei Önkormányzat </w:t>
      </w:r>
      <w:r w:rsidR="00761460">
        <w:rPr>
          <w:b/>
        </w:rPr>
        <w:t>200</w:t>
      </w:r>
      <w:r w:rsidR="00DE4606">
        <w:rPr>
          <w:b/>
        </w:rPr>
        <w:t>9</w:t>
      </w:r>
      <w:r>
        <w:rPr>
          <w:b/>
        </w:rPr>
        <w:t xml:space="preserve">. évi eszközeit és forrásait tartalmazó egyszerűsített mérlegét </w:t>
      </w:r>
      <w:r>
        <w:t xml:space="preserve">a 12. számú mellékletben foglaltak szerint elfogadja, és az önkormányzat </w:t>
      </w:r>
      <w:r>
        <w:rPr>
          <w:b/>
        </w:rPr>
        <w:t>20</w:t>
      </w:r>
      <w:r w:rsidR="00761460">
        <w:rPr>
          <w:b/>
        </w:rPr>
        <w:t>0</w:t>
      </w:r>
      <w:r w:rsidR="00DE4606">
        <w:rPr>
          <w:b/>
        </w:rPr>
        <w:t>9</w:t>
      </w:r>
      <w:r>
        <w:rPr>
          <w:b/>
        </w:rPr>
        <w:t>. évi egyszerűsített pénzforgalmi jelentését</w:t>
      </w:r>
      <w:r>
        <w:t xml:space="preserve"> a 13. számú mellékletben foglaltak szerint hagyja jóvá.</w:t>
      </w:r>
    </w:p>
    <w:p w:rsidR="00FD43A5" w:rsidRDefault="00FD43A5" w:rsidP="00FD43A5">
      <w:pPr>
        <w:jc w:val="both"/>
      </w:pPr>
    </w:p>
    <w:p w:rsidR="00B67FA8" w:rsidRDefault="00B67FA8" w:rsidP="00FD43A5">
      <w:pPr>
        <w:jc w:val="both"/>
      </w:pPr>
    </w:p>
    <w:p w:rsidR="005B747C" w:rsidRDefault="005B747C" w:rsidP="00FD43A5">
      <w:pPr>
        <w:jc w:val="both"/>
      </w:pPr>
    </w:p>
    <w:p w:rsidR="00DE01AF" w:rsidRDefault="00DE01AF" w:rsidP="00FD43A5">
      <w:pPr>
        <w:jc w:val="both"/>
      </w:pPr>
    </w:p>
    <w:p w:rsidR="00DE01AF" w:rsidRDefault="00DE01AF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10. §</w:t>
      </w:r>
    </w:p>
    <w:p w:rsidR="00915ADC" w:rsidRDefault="00915ADC" w:rsidP="00FD43A5">
      <w:pPr>
        <w:jc w:val="center"/>
        <w:rPr>
          <w:b/>
        </w:rPr>
      </w:pPr>
    </w:p>
    <w:p w:rsidR="00FD43A5" w:rsidRDefault="00FD43A5" w:rsidP="00FD43A5">
      <w:pPr>
        <w:jc w:val="both"/>
      </w:pPr>
      <w:r>
        <w:t>Békés Megye Képviselő-testülete a Megyei Önkormányzat 200</w:t>
      </w:r>
      <w:r w:rsidR="00DE4606">
        <w:t>9</w:t>
      </w:r>
      <w:r>
        <w:t xml:space="preserve">. évi </w:t>
      </w:r>
      <w:r w:rsidR="00761460">
        <w:rPr>
          <w:b/>
        </w:rPr>
        <w:t>záró</w:t>
      </w:r>
      <w:r w:rsidR="004D025D">
        <w:rPr>
          <w:b/>
        </w:rPr>
        <w:t xml:space="preserve"> </w:t>
      </w:r>
      <w:r w:rsidR="00761460">
        <w:rPr>
          <w:b/>
        </w:rPr>
        <w:t xml:space="preserve">létszámát </w:t>
      </w:r>
      <w:r w:rsidR="00761460" w:rsidRPr="00CE701A">
        <w:rPr>
          <w:b/>
        </w:rPr>
        <w:t>4.1</w:t>
      </w:r>
      <w:r w:rsidR="00CE701A">
        <w:rPr>
          <w:b/>
        </w:rPr>
        <w:t>98</w:t>
      </w:r>
      <w:r w:rsidR="00DE4606">
        <w:rPr>
          <w:b/>
        </w:rPr>
        <w:t xml:space="preserve"> </w:t>
      </w:r>
      <w:r>
        <w:rPr>
          <w:b/>
        </w:rPr>
        <w:t xml:space="preserve">fővel </w:t>
      </w:r>
      <w:r>
        <w:t>a 14. számú mellékletben foglalt részletezettséggel fogadja el.</w:t>
      </w:r>
    </w:p>
    <w:p w:rsidR="00FD43A5" w:rsidRDefault="00FD43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11. §</w:t>
      </w:r>
    </w:p>
    <w:p w:rsidR="00FD43A5" w:rsidRDefault="00FD43A5" w:rsidP="00FD43A5">
      <w:pPr>
        <w:jc w:val="center"/>
        <w:rPr>
          <w:b/>
        </w:rPr>
      </w:pPr>
    </w:p>
    <w:p w:rsidR="00FD43A5" w:rsidRDefault="00FD43A5" w:rsidP="00FD43A5">
      <w:pPr>
        <w:jc w:val="both"/>
        <w:rPr>
          <w:b/>
        </w:rPr>
      </w:pPr>
      <w:r>
        <w:t xml:space="preserve">Békés Megye Képviselő-testülete a Megyei Önkormányzat </w:t>
      </w:r>
      <w:r w:rsidR="00761460">
        <w:rPr>
          <w:b/>
        </w:rPr>
        <w:t>200</w:t>
      </w:r>
      <w:r w:rsidR="00DE4606">
        <w:rPr>
          <w:b/>
        </w:rPr>
        <w:t>9</w:t>
      </w:r>
      <w:r>
        <w:rPr>
          <w:b/>
        </w:rPr>
        <w:t xml:space="preserve">. évi működési célú és fejlesztési célú bevételek és kiadások </w:t>
      </w:r>
      <w:r>
        <w:t xml:space="preserve">alakulását bemutató mérlegét a 15. számú melléklet szerint </w:t>
      </w:r>
      <w:r w:rsidR="00761460" w:rsidRPr="00CE701A">
        <w:rPr>
          <w:b/>
        </w:rPr>
        <w:t>3</w:t>
      </w:r>
      <w:r w:rsidR="00CE701A">
        <w:rPr>
          <w:b/>
        </w:rPr>
        <w:t>9</w:t>
      </w:r>
      <w:r w:rsidR="00761460" w:rsidRPr="00CE701A">
        <w:rPr>
          <w:b/>
        </w:rPr>
        <w:t>.</w:t>
      </w:r>
      <w:r w:rsidR="00CE701A">
        <w:rPr>
          <w:b/>
        </w:rPr>
        <w:t>553</w:t>
      </w:r>
      <w:r w:rsidR="00761460" w:rsidRPr="00CE701A">
        <w:rPr>
          <w:b/>
        </w:rPr>
        <w:t>.</w:t>
      </w:r>
      <w:r w:rsidR="00CE701A">
        <w:rPr>
          <w:b/>
        </w:rPr>
        <w:t>714</w:t>
      </w:r>
      <w:r>
        <w:rPr>
          <w:b/>
        </w:rPr>
        <w:t xml:space="preserve"> E Ft </w:t>
      </w:r>
      <w:r>
        <w:t xml:space="preserve">bevétellel és </w:t>
      </w:r>
      <w:r w:rsidR="00761460" w:rsidRPr="00CE701A">
        <w:rPr>
          <w:b/>
        </w:rPr>
        <w:t>2</w:t>
      </w:r>
      <w:r w:rsidR="00CE75F0">
        <w:rPr>
          <w:b/>
        </w:rPr>
        <w:t>6</w:t>
      </w:r>
      <w:r w:rsidR="00761460" w:rsidRPr="00CE701A">
        <w:rPr>
          <w:b/>
        </w:rPr>
        <w:t>.</w:t>
      </w:r>
      <w:r w:rsidR="00CE75F0">
        <w:rPr>
          <w:b/>
        </w:rPr>
        <w:t>637</w:t>
      </w:r>
      <w:r w:rsidR="00761460" w:rsidRPr="00CE701A">
        <w:rPr>
          <w:b/>
        </w:rPr>
        <w:t>.</w:t>
      </w:r>
      <w:r w:rsidR="00CE75F0">
        <w:rPr>
          <w:b/>
        </w:rPr>
        <w:t>038</w:t>
      </w:r>
      <w:r>
        <w:rPr>
          <w:b/>
        </w:rPr>
        <w:t xml:space="preserve"> E Ft </w:t>
      </w:r>
      <w:r>
        <w:t>kiadással hagyja jóvá.</w:t>
      </w:r>
    </w:p>
    <w:p w:rsidR="00FD43A5" w:rsidRDefault="00FD43A5" w:rsidP="00FD43A5">
      <w:pPr>
        <w:jc w:val="both"/>
        <w:rPr>
          <w:b/>
        </w:rPr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12. §</w:t>
      </w:r>
    </w:p>
    <w:p w:rsidR="00B67FA8" w:rsidRDefault="00B67FA8" w:rsidP="00FD43A5">
      <w:pPr>
        <w:jc w:val="center"/>
        <w:rPr>
          <w:b/>
        </w:rPr>
      </w:pPr>
    </w:p>
    <w:p w:rsidR="00FD43A5" w:rsidRDefault="00FD43A5" w:rsidP="00FD43A5">
      <w:pPr>
        <w:jc w:val="both"/>
      </w:pPr>
      <w:r>
        <w:t>Békés Megye Képviselő-testülete a Békés M</w:t>
      </w:r>
      <w:r w:rsidR="00761460">
        <w:t>egyei Önkormányzati Hivatal 200</w:t>
      </w:r>
      <w:r w:rsidR="00DE4606">
        <w:t>9</w:t>
      </w:r>
      <w:r>
        <w:t>. évi bevételeinek tevékenységenkénti részletezését az intézmény finanszírozás adataival együtt a 16. számú melléklet szerint</w:t>
      </w:r>
      <w:r w:rsidR="00761460">
        <w:rPr>
          <w:b/>
        </w:rPr>
        <w:t xml:space="preserve"> </w:t>
      </w:r>
      <w:r w:rsidR="00761460" w:rsidRPr="00CE75F0">
        <w:rPr>
          <w:b/>
        </w:rPr>
        <w:t>2</w:t>
      </w:r>
      <w:r w:rsidR="00CE75F0" w:rsidRPr="00CE75F0">
        <w:rPr>
          <w:b/>
        </w:rPr>
        <w:t>4</w:t>
      </w:r>
      <w:r w:rsidR="00761460" w:rsidRPr="00CE75F0">
        <w:rPr>
          <w:b/>
        </w:rPr>
        <w:t>.</w:t>
      </w:r>
      <w:r w:rsidR="00CE75F0" w:rsidRPr="00CE75F0">
        <w:rPr>
          <w:b/>
        </w:rPr>
        <w:t>636</w:t>
      </w:r>
      <w:r w:rsidR="00761460" w:rsidRPr="00CE75F0">
        <w:rPr>
          <w:b/>
        </w:rPr>
        <w:t>.1</w:t>
      </w:r>
      <w:r w:rsidR="00CE75F0" w:rsidRPr="00CE75F0">
        <w:rPr>
          <w:b/>
        </w:rPr>
        <w:t>21</w:t>
      </w:r>
      <w:r>
        <w:rPr>
          <w:b/>
        </w:rPr>
        <w:t xml:space="preserve"> E Ft-tal</w:t>
      </w:r>
      <w:r>
        <w:t xml:space="preserve">, kiadásainak tevékenységenkénti részletezését </w:t>
      </w:r>
      <w:r w:rsidRPr="00CE75F0">
        <w:rPr>
          <w:b/>
        </w:rPr>
        <w:t>1</w:t>
      </w:r>
      <w:r w:rsidR="00CE75F0">
        <w:rPr>
          <w:b/>
        </w:rPr>
        <w:t>2</w:t>
      </w:r>
      <w:r w:rsidR="00761460" w:rsidRPr="00CE75F0">
        <w:rPr>
          <w:b/>
        </w:rPr>
        <w:t>.</w:t>
      </w:r>
      <w:r w:rsidR="00CE75F0">
        <w:rPr>
          <w:b/>
        </w:rPr>
        <w:t>477</w:t>
      </w:r>
      <w:r w:rsidR="00761460" w:rsidRPr="00CE75F0">
        <w:rPr>
          <w:b/>
        </w:rPr>
        <w:t>.</w:t>
      </w:r>
      <w:r w:rsidR="00CE75F0">
        <w:rPr>
          <w:b/>
        </w:rPr>
        <w:t>418</w:t>
      </w:r>
      <w:r>
        <w:t xml:space="preserve"> </w:t>
      </w:r>
      <w:r>
        <w:rPr>
          <w:b/>
        </w:rPr>
        <w:t xml:space="preserve">E Ft-tal </w:t>
      </w:r>
      <w:r>
        <w:t>hagyja jóvá.</w:t>
      </w:r>
    </w:p>
    <w:p w:rsidR="00FD43A5" w:rsidRDefault="00FD43A5" w:rsidP="00FD43A5">
      <w:pPr>
        <w:jc w:val="both"/>
      </w:pPr>
    </w:p>
    <w:p w:rsidR="00FD43A5" w:rsidRDefault="00FD43A5" w:rsidP="00FD43A5">
      <w:pPr>
        <w:jc w:val="center"/>
        <w:rPr>
          <w:b/>
        </w:rPr>
      </w:pPr>
      <w:r>
        <w:rPr>
          <w:b/>
        </w:rPr>
        <w:t>13. §</w:t>
      </w:r>
    </w:p>
    <w:p w:rsidR="00B67FA8" w:rsidRDefault="00B67FA8" w:rsidP="00FD43A5">
      <w:pPr>
        <w:jc w:val="center"/>
        <w:rPr>
          <w:b/>
        </w:rPr>
      </w:pPr>
    </w:p>
    <w:p w:rsidR="00FD43A5" w:rsidRDefault="00FD43A5" w:rsidP="00FD43A5">
      <w:pPr>
        <w:numPr>
          <w:ilvl w:val="0"/>
          <w:numId w:val="2"/>
        </w:numPr>
        <w:jc w:val="both"/>
      </w:pPr>
      <w:r>
        <w:t xml:space="preserve">Békés Megye Képviselő-testülete a 17. számú mellékletben foglaltak alapján a </w:t>
      </w:r>
      <w:r w:rsidR="00636728">
        <w:t>200</w:t>
      </w:r>
      <w:r w:rsidR="00DE4606">
        <w:t>9</w:t>
      </w:r>
      <w:r w:rsidR="00636728">
        <w:t xml:space="preserve">. évi </w:t>
      </w:r>
      <w:r>
        <w:t xml:space="preserve">működési </w:t>
      </w:r>
      <w:r w:rsidR="00761460">
        <w:t xml:space="preserve">célú </w:t>
      </w:r>
      <w:r>
        <w:t xml:space="preserve">bevételek teljesítését </w:t>
      </w:r>
      <w:r w:rsidR="00CE75F0" w:rsidRPr="00CE75F0">
        <w:rPr>
          <w:b/>
        </w:rPr>
        <w:t>33</w:t>
      </w:r>
      <w:r w:rsidR="00761460" w:rsidRPr="00CE75F0">
        <w:rPr>
          <w:b/>
        </w:rPr>
        <w:t>.</w:t>
      </w:r>
      <w:r w:rsidR="00CE75F0" w:rsidRPr="00CE75F0">
        <w:rPr>
          <w:b/>
        </w:rPr>
        <w:t>674</w:t>
      </w:r>
      <w:r w:rsidR="00636728" w:rsidRPr="00CE75F0">
        <w:rPr>
          <w:b/>
        </w:rPr>
        <w:t>.</w:t>
      </w:r>
      <w:r w:rsidR="00CE75F0" w:rsidRPr="00CE75F0">
        <w:rPr>
          <w:b/>
        </w:rPr>
        <w:t>301</w:t>
      </w:r>
      <w:r>
        <w:rPr>
          <w:b/>
        </w:rPr>
        <w:t xml:space="preserve"> E Ft</w:t>
      </w:r>
      <w:r>
        <w:t xml:space="preserve">-ban, a </w:t>
      </w:r>
      <w:r w:rsidR="00636728">
        <w:t>200</w:t>
      </w:r>
      <w:r w:rsidR="00DE4606">
        <w:t>9</w:t>
      </w:r>
      <w:r w:rsidR="00636728">
        <w:t xml:space="preserve">. évi </w:t>
      </w:r>
      <w:r>
        <w:t xml:space="preserve">fejlesztési célú bevételek teljesítését </w:t>
      </w:r>
      <w:r w:rsidR="00CE75F0">
        <w:rPr>
          <w:b/>
        </w:rPr>
        <w:t>5</w:t>
      </w:r>
      <w:r w:rsidR="00761460" w:rsidRPr="00CE75F0">
        <w:rPr>
          <w:b/>
        </w:rPr>
        <w:t>.</w:t>
      </w:r>
      <w:r w:rsidR="00CE75F0">
        <w:rPr>
          <w:b/>
        </w:rPr>
        <w:t>915</w:t>
      </w:r>
      <w:r w:rsidR="00761460" w:rsidRPr="00CE75F0">
        <w:rPr>
          <w:b/>
        </w:rPr>
        <w:t>.3</w:t>
      </w:r>
      <w:r w:rsidR="00CE75F0">
        <w:rPr>
          <w:b/>
        </w:rPr>
        <w:t xml:space="preserve">39 </w:t>
      </w:r>
      <w:r>
        <w:rPr>
          <w:b/>
        </w:rPr>
        <w:t>E</w:t>
      </w:r>
      <w:r w:rsidR="00DE4606">
        <w:rPr>
          <w:b/>
        </w:rPr>
        <w:t xml:space="preserve"> </w:t>
      </w:r>
      <w:r>
        <w:rPr>
          <w:b/>
        </w:rPr>
        <w:t>Ft</w:t>
      </w:r>
      <w:r>
        <w:t>-ban fogadja el.</w:t>
      </w:r>
    </w:p>
    <w:p w:rsidR="00FD43A5" w:rsidRDefault="00FD43A5" w:rsidP="00FD43A5">
      <w:pPr>
        <w:numPr>
          <w:ilvl w:val="0"/>
          <w:numId w:val="2"/>
        </w:numPr>
        <w:jc w:val="both"/>
      </w:pPr>
      <w:r>
        <w:t xml:space="preserve">Békés </w:t>
      </w:r>
      <w:r w:rsidR="00636728">
        <w:t>Megye Képviselő-testülete a 200</w:t>
      </w:r>
      <w:r w:rsidR="00DE4606">
        <w:t>9</w:t>
      </w:r>
      <w:r>
        <w:t xml:space="preserve">. évi működési célú kiadások teljesítését </w:t>
      </w:r>
      <w:r w:rsidR="00636728" w:rsidRPr="00CE75F0">
        <w:rPr>
          <w:b/>
        </w:rPr>
        <w:t>22.</w:t>
      </w:r>
      <w:r w:rsidR="00CE75F0">
        <w:rPr>
          <w:b/>
        </w:rPr>
        <w:t>859</w:t>
      </w:r>
      <w:r w:rsidR="00636728" w:rsidRPr="00CE75F0">
        <w:rPr>
          <w:b/>
        </w:rPr>
        <w:t>.</w:t>
      </w:r>
      <w:r w:rsidR="00CE75F0">
        <w:rPr>
          <w:b/>
        </w:rPr>
        <w:t>988</w:t>
      </w:r>
      <w:r>
        <w:rPr>
          <w:b/>
        </w:rPr>
        <w:t xml:space="preserve"> E Ft</w:t>
      </w:r>
      <w:r>
        <w:t xml:space="preserve">-ban, a </w:t>
      </w:r>
      <w:r w:rsidR="00636728">
        <w:t>200</w:t>
      </w:r>
      <w:r w:rsidR="00DE4606">
        <w:t>9</w:t>
      </w:r>
      <w:r w:rsidR="00636728">
        <w:t xml:space="preserve">. évi </w:t>
      </w:r>
      <w:r>
        <w:t xml:space="preserve">fejlesztési célú kiadások teljesítését </w:t>
      </w:r>
      <w:r w:rsidR="00CE75F0">
        <w:rPr>
          <w:b/>
        </w:rPr>
        <w:t>3.601</w:t>
      </w:r>
      <w:r>
        <w:rPr>
          <w:b/>
        </w:rPr>
        <w:t xml:space="preserve"> E Ft</w:t>
      </w:r>
      <w:r>
        <w:t>-ban fogadja el.</w:t>
      </w:r>
    </w:p>
    <w:p w:rsidR="00FD43A5" w:rsidRPr="00CE75F0" w:rsidRDefault="00FD43A5" w:rsidP="00FD43A5">
      <w:pPr>
        <w:numPr>
          <w:ilvl w:val="0"/>
          <w:numId w:val="2"/>
        </w:numPr>
        <w:jc w:val="both"/>
      </w:pPr>
      <w:r w:rsidRPr="00CE75F0">
        <w:t xml:space="preserve">Békés </w:t>
      </w:r>
      <w:r w:rsidR="00636728" w:rsidRPr="00CE75F0">
        <w:t>Megye Képviselő-testülete a 20</w:t>
      </w:r>
      <w:r w:rsidR="00CE75F0">
        <w:t>10</w:t>
      </w:r>
      <w:r w:rsidRPr="00CE75F0">
        <w:t>. évi költségvetési bevételi és k</w:t>
      </w:r>
      <w:r w:rsidR="00636728" w:rsidRPr="00CE75F0">
        <w:t>iadási előirányzatokat és a 201</w:t>
      </w:r>
      <w:r w:rsidR="00CE75F0">
        <w:t>1</w:t>
      </w:r>
      <w:r w:rsidRPr="00CE75F0">
        <w:t>. évi kö</w:t>
      </w:r>
      <w:r w:rsidR="00636728" w:rsidRPr="00CE75F0">
        <w:t xml:space="preserve">ltségvetési bevételi és kiadási </w:t>
      </w:r>
      <w:r w:rsidRPr="00CE75F0">
        <w:t>előirányzatok iránysz</w:t>
      </w:r>
      <w:r w:rsidR="00636728" w:rsidRPr="00CE75F0">
        <w:t>ámait a Megyei Önkormányzat 2009</w:t>
      </w:r>
      <w:r w:rsidRPr="00CE75F0">
        <w:t>. évi költségvetés</w:t>
      </w:r>
      <w:r w:rsidR="00636728" w:rsidRPr="00CE75F0">
        <w:t>éről szóló 2/2009.(II</w:t>
      </w:r>
      <w:r w:rsidR="00085688" w:rsidRPr="00CE75F0">
        <w:t>. 13</w:t>
      </w:r>
      <w:r w:rsidRPr="00CE75F0">
        <w:t>.) KT sz. rendelet szerint a 17. számú mellékletben felsorolt részletezés alapján tudomásul veszi.</w:t>
      </w:r>
    </w:p>
    <w:p w:rsidR="00FD43A5" w:rsidRDefault="00FD43A5" w:rsidP="00FD43A5">
      <w:pPr>
        <w:numPr>
          <w:ilvl w:val="0"/>
          <w:numId w:val="2"/>
        </w:numPr>
        <w:jc w:val="both"/>
      </w:pPr>
      <w:r>
        <w:t>Békés Megye Képviselő-testülete által vállalt hosszú távú kötelezettségek a 18. számú melléklet szerint alakulnak.</w:t>
      </w:r>
    </w:p>
    <w:p w:rsidR="00FD43A5" w:rsidRDefault="00FD43A5" w:rsidP="00FD43A5">
      <w:pPr>
        <w:numPr>
          <w:ilvl w:val="0"/>
          <w:numId w:val="2"/>
        </w:numPr>
        <w:jc w:val="both"/>
      </w:pPr>
      <w:r>
        <w:t>Békés Megye Képviselő-testül</w:t>
      </w:r>
      <w:r w:rsidR="00636728">
        <w:t>ete a közvetett támogatások 200</w:t>
      </w:r>
      <w:r w:rsidR="00DE4606">
        <w:t>9</w:t>
      </w:r>
      <w:r>
        <w:t>. évi összegét a 19. számú mellékletben meghatározottak szerint hagyja jóvá.</w:t>
      </w:r>
    </w:p>
    <w:p w:rsidR="00FD43A5" w:rsidRDefault="00E558AB" w:rsidP="00FD43A5">
      <w:pPr>
        <w:numPr>
          <w:ilvl w:val="0"/>
          <w:numId w:val="2"/>
        </w:numPr>
        <w:jc w:val="both"/>
      </w:pPr>
      <w:r>
        <w:t xml:space="preserve">A </w:t>
      </w:r>
      <w:r w:rsidR="00FD43A5">
        <w:t>Békés Megye</w:t>
      </w:r>
      <w:r>
        <w:t xml:space="preserve">i </w:t>
      </w:r>
      <w:r w:rsidR="00FD43A5">
        <w:t>Önko</w:t>
      </w:r>
      <w:r w:rsidR="00636728">
        <w:t>rmányzati Hivatal a 20</w:t>
      </w:r>
      <w:r w:rsidR="00DE4606">
        <w:t>10</w:t>
      </w:r>
      <w:r w:rsidR="00FD43A5">
        <w:t>. évi gazd</w:t>
      </w:r>
      <w:r w:rsidR="00636728">
        <w:t>álkodás során hasznosít</w:t>
      </w:r>
      <w:r>
        <w:t>ja</w:t>
      </w:r>
      <w:r w:rsidR="00636728">
        <w:t xml:space="preserve"> a 200</w:t>
      </w:r>
      <w:r w:rsidR="00DE4606">
        <w:t>9</w:t>
      </w:r>
      <w:r w:rsidR="00FD43A5">
        <w:t>. évi tapasztalatokat.</w:t>
      </w:r>
    </w:p>
    <w:p w:rsidR="00FD43A5" w:rsidRDefault="00FD43A5" w:rsidP="00FD43A5">
      <w:pPr>
        <w:jc w:val="both"/>
      </w:pPr>
    </w:p>
    <w:p w:rsidR="00F132DA" w:rsidRDefault="00F132DA" w:rsidP="00F132DA">
      <w:pPr>
        <w:jc w:val="center"/>
        <w:rPr>
          <w:b/>
        </w:rPr>
      </w:pPr>
      <w:r w:rsidRPr="00F132DA">
        <w:rPr>
          <w:b/>
        </w:rPr>
        <w:t>14. §</w:t>
      </w:r>
    </w:p>
    <w:p w:rsidR="004429AD" w:rsidRDefault="004429AD" w:rsidP="00FD43A5">
      <w:pPr>
        <w:jc w:val="both"/>
      </w:pPr>
    </w:p>
    <w:p w:rsidR="0037640D" w:rsidRDefault="0037640D" w:rsidP="00FD43A5">
      <w:pPr>
        <w:jc w:val="both"/>
      </w:pPr>
    </w:p>
    <w:p w:rsidR="00E6163A" w:rsidRPr="00E6163A" w:rsidRDefault="00E558AB" w:rsidP="00E6163A">
      <w:pPr>
        <w:jc w:val="center"/>
        <w:rPr>
          <w:b/>
        </w:rPr>
      </w:pPr>
      <w:r>
        <w:rPr>
          <w:b/>
        </w:rPr>
        <w:t>Z</w:t>
      </w:r>
      <w:r w:rsidR="00E6163A" w:rsidRPr="00E6163A">
        <w:rPr>
          <w:b/>
        </w:rPr>
        <w:t>áró rendelkezések</w:t>
      </w:r>
    </w:p>
    <w:p w:rsidR="00E6163A" w:rsidRDefault="00E6163A" w:rsidP="00FD43A5">
      <w:pPr>
        <w:jc w:val="both"/>
      </w:pPr>
    </w:p>
    <w:p w:rsidR="00BC1CD1" w:rsidRPr="00B45E1B" w:rsidRDefault="00BC1CD1" w:rsidP="00B67FA8">
      <w:pPr>
        <w:numPr>
          <w:ilvl w:val="0"/>
          <w:numId w:val="7"/>
        </w:numPr>
        <w:jc w:val="both"/>
      </w:pPr>
      <w:r w:rsidRPr="00B45E1B">
        <w:t xml:space="preserve">Békés </w:t>
      </w:r>
      <w:r w:rsidR="00E558AB">
        <w:t>M</w:t>
      </w:r>
      <w:r w:rsidRPr="00B45E1B">
        <w:t>egye Képviselő-testül</w:t>
      </w:r>
      <w:r w:rsidR="00E558AB">
        <w:t>e</w:t>
      </w:r>
      <w:r w:rsidRPr="00B45E1B">
        <w:t>te a 200</w:t>
      </w:r>
      <w:r w:rsidR="00DE4606" w:rsidRPr="00B45E1B">
        <w:t>9</w:t>
      </w:r>
      <w:r w:rsidRPr="00B45E1B">
        <w:t>. évi normatív állami támogatás és a kereset</w:t>
      </w:r>
      <w:r w:rsidR="0056595A" w:rsidRPr="00B45E1B">
        <w:t>-kiegészítés</w:t>
      </w:r>
      <w:r w:rsidR="0075393E">
        <w:t xml:space="preserve"> igénybevétele miatt keletkezett járulék-megtakarítás címén keletkezett elvonás</w:t>
      </w:r>
      <w:r w:rsidRPr="00B45E1B">
        <w:t xml:space="preserve"> miatt</w:t>
      </w:r>
      <w:r w:rsidR="0075393E">
        <w:t>,</w:t>
      </w:r>
      <w:r w:rsidR="00013BD4">
        <w:t xml:space="preserve"> </w:t>
      </w:r>
      <w:r w:rsidR="0075393E">
        <w:t>valamint az Új Tudás Műveltség Program</w:t>
      </w:r>
      <w:r w:rsidRPr="00B45E1B">
        <w:t xml:space="preserve"> </w:t>
      </w:r>
      <w:r w:rsidR="0075393E">
        <w:t xml:space="preserve">keretében kapott támogatás fel nem használt része miatt </w:t>
      </w:r>
      <w:r w:rsidRPr="00B45E1B">
        <w:t>a következő intézmények</w:t>
      </w:r>
      <w:r w:rsidR="007872C1" w:rsidRPr="00B45E1B">
        <w:t xml:space="preserve">nek a 2/2009. (II.13.) KT. </w:t>
      </w:r>
      <w:r w:rsidR="00E558AB">
        <w:t xml:space="preserve">sz. </w:t>
      </w:r>
      <w:r w:rsidR="007872C1" w:rsidRPr="00B45E1B">
        <w:t>rendelet 1. számú mellékletében meghatározott</w:t>
      </w:r>
      <w:r w:rsidRPr="00B45E1B">
        <w:t xml:space="preserve"> 2009. évi felügyeleti támogatási előirányzatából</w:t>
      </w:r>
      <w:r w:rsidR="00E6163A" w:rsidRPr="00B45E1B">
        <w:t xml:space="preserve"> </w:t>
      </w:r>
      <w:r w:rsidRPr="00B45E1B">
        <w:t>az alábbi összegeket zárolja</w:t>
      </w:r>
      <w:r w:rsidR="00861610">
        <w:t>, illetve azt kiegészíti</w:t>
      </w:r>
      <w:r w:rsidRPr="00B45E1B">
        <w:t>:</w:t>
      </w:r>
    </w:p>
    <w:p w:rsidR="00BC1CD1" w:rsidRDefault="00BC1CD1" w:rsidP="00BC1CD1">
      <w:pPr>
        <w:jc w:val="both"/>
      </w:pPr>
    </w:p>
    <w:tbl>
      <w:tblPr>
        <w:tblW w:w="6980" w:type="dxa"/>
        <w:jc w:val="center"/>
        <w:tblInd w:w="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15"/>
        <w:gridCol w:w="1565"/>
      </w:tblGrid>
      <w:tr w:rsidR="00BC1CD1">
        <w:trPr>
          <w:trHeight w:val="345"/>
          <w:jc w:val="center"/>
        </w:trPr>
        <w:tc>
          <w:tcPr>
            <w:tcW w:w="5415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C1CD1" w:rsidRPr="00587B48" w:rsidRDefault="00BC1CD1">
            <w:pPr>
              <w:rPr>
                <w:b/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BC1CD1" w:rsidRDefault="00BC1C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b/>
                <w:bCs/>
                <w:sz w:val="20"/>
                <w:szCs w:val="20"/>
              </w:rPr>
              <w:t xml:space="preserve">   eFt</w:t>
            </w:r>
          </w:p>
        </w:tc>
      </w:tr>
      <w:tr w:rsidR="00BC1CD1">
        <w:trPr>
          <w:trHeight w:val="60"/>
          <w:jc w:val="center"/>
        </w:trPr>
        <w:tc>
          <w:tcPr>
            <w:tcW w:w="5415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</w:tcPr>
          <w:p w:rsidR="00BC1CD1" w:rsidRPr="00587B48" w:rsidRDefault="00BC1CD1">
            <w:pPr>
              <w:rPr>
                <w:sz w:val="20"/>
                <w:szCs w:val="20"/>
                <w:highlight w:val="magenta"/>
              </w:rPr>
            </w:pPr>
            <w:r w:rsidRPr="0075393E">
              <w:rPr>
                <w:sz w:val="20"/>
                <w:szCs w:val="20"/>
              </w:rPr>
              <w:t> 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BC1CD1" w:rsidRDefault="000856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Visszafizetési kötelezettség</w:t>
            </w:r>
          </w:p>
          <w:p w:rsidR="00E558AB" w:rsidRDefault="00E558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(+ kiegészítés</w:t>
            </w:r>
          </w:p>
          <w:p w:rsidR="00E558AB" w:rsidRDefault="00E558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zárolás)</w:t>
            </w:r>
          </w:p>
        </w:tc>
      </w:tr>
      <w:tr w:rsidR="00BC1CD1">
        <w:trPr>
          <w:trHeight w:val="225"/>
          <w:jc w:val="center"/>
        </w:trPr>
        <w:tc>
          <w:tcPr>
            <w:tcW w:w="54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BC1CD1" w:rsidRPr="0075393E" w:rsidRDefault="00BC1CD1">
            <w:pPr>
              <w:jc w:val="center"/>
              <w:rPr>
                <w:b/>
                <w:bCs/>
                <w:sz w:val="20"/>
                <w:szCs w:val="20"/>
              </w:rPr>
            </w:pPr>
            <w:r w:rsidRPr="0075393E">
              <w:rPr>
                <w:b/>
                <w:bCs/>
                <w:sz w:val="20"/>
                <w:szCs w:val="20"/>
              </w:rPr>
              <w:t>Intézmény megnevezése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BC1CD1" w:rsidRDefault="00BC1CD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1CD1">
        <w:trPr>
          <w:trHeight w:val="180"/>
          <w:jc w:val="center"/>
        </w:trPr>
        <w:tc>
          <w:tcPr>
            <w:tcW w:w="5415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 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BC1CD1" w:rsidRDefault="00BC1CD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lastRenderedPageBreak/>
              <w:t>Harruckern János Közoktatási Intézmény, Gyula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75393E" w:rsidP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</w:t>
            </w:r>
            <w:r w:rsidR="0056595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168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Hunyadi J. Közoktatási Intézmény, Mezőkovácsháza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-260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Farkas Gyula Közoktatási Intézmény, Békés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56595A" w:rsidP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7539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75393E">
              <w:rPr>
                <w:sz w:val="20"/>
                <w:szCs w:val="20"/>
              </w:rPr>
              <w:t>915</w:t>
            </w:r>
          </w:p>
        </w:tc>
      </w:tr>
      <w:tr w:rsidR="0056595A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56595A" w:rsidRPr="0075393E" w:rsidRDefault="0056595A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Szociális és Gyermekvédelmi Központ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6595A" w:rsidRDefault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-26.229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Hajnal István Szociális Szolgáltató Centrum, Békés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C1CD1" w:rsidRDefault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-1.732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 xml:space="preserve">Körös-menti Szociális Centrum, Szarvas   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6595A">
              <w:rPr>
                <w:sz w:val="20"/>
                <w:szCs w:val="20"/>
              </w:rPr>
              <w:t>748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Jókai Színház, Békéscsaba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56595A" w:rsidP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  <w:r w:rsidR="0075393E">
              <w:rPr>
                <w:sz w:val="20"/>
                <w:szCs w:val="20"/>
              </w:rPr>
              <w:t>01</w:t>
            </w:r>
          </w:p>
        </w:tc>
      </w:tr>
      <w:tr w:rsidR="0075393E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75393E" w:rsidRPr="0075393E" w:rsidRDefault="00753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Békés Megyei Napsugár Bábszínház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75393E" w:rsidRDefault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</w:t>
            </w:r>
          </w:p>
        </w:tc>
      </w:tr>
      <w:tr w:rsidR="0056595A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56595A" w:rsidRPr="0075393E" w:rsidRDefault="0056595A" w:rsidP="0064105F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Békés Megyei Múzeumok Igazgatósága, Békéscsaba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56595A" w:rsidRDefault="0056595A" w:rsidP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-138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56595A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Békés Megyei Levéltár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6595A">
              <w:rPr>
                <w:sz w:val="20"/>
                <w:szCs w:val="20"/>
              </w:rPr>
              <w:t>12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56595A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Békés Megye Képviselő-testülete Ellátó Szervezete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-184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BC1CD1">
            <w:pPr>
              <w:rPr>
                <w:sz w:val="20"/>
                <w:szCs w:val="20"/>
              </w:rPr>
            </w:pPr>
            <w:r w:rsidRPr="0075393E">
              <w:rPr>
                <w:sz w:val="20"/>
                <w:szCs w:val="20"/>
              </w:rPr>
              <w:t>Békés Megyei Tudásház és Könyvtár, Békéscsaba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56595A">
              <w:rPr>
                <w:sz w:val="20"/>
                <w:szCs w:val="20"/>
              </w:rPr>
              <w:t>14</w:t>
            </w:r>
          </w:p>
        </w:tc>
      </w:tr>
      <w:tr w:rsidR="0075393E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75393E" w:rsidRPr="0075393E" w:rsidRDefault="00753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Pándy Kálmán Békés Megyei Kórház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75393E" w:rsidRDefault="007539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013BD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001</w:t>
            </w:r>
          </w:p>
        </w:tc>
      </w:tr>
      <w:tr w:rsidR="0056595A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56595A" w:rsidRPr="00587B48" w:rsidRDefault="0056595A">
            <w:pPr>
              <w:rPr>
                <w:sz w:val="20"/>
                <w:szCs w:val="20"/>
                <w:highlight w:val="magenta"/>
              </w:rPr>
            </w:pPr>
            <w:r w:rsidRPr="0075393E">
              <w:rPr>
                <w:sz w:val="20"/>
                <w:szCs w:val="20"/>
              </w:rPr>
              <w:t>Önkormányzati Hivatal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56595A" w:rsidRDefault="005659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-698</w:t>
            </w:r>
          </w:p>
        </w:tc>
      </w:tr>
      <w:tr w:rsidR="00BC1CD1">
        <w:trPr>
          <w:trHeight w:val="345"/>
          <w:jc w:val="center"/>
        </w:trPr>
        <w:tc>
          <w:tcPr>
            <w:tcW w:w="5415" w:type="dxa"/>
            <w:shd w:val="clear" w:color="auto" w:fill="auto"/>
            <w:noWrap/>
            <w:vAlign w:val="center"/>
          </w:tcPr>
          <w:p w:rsidR="00BC1CD1" w:rsidRPr="0075393E" w:rsidRDefault="00085688">
            <w:pPr>
              <w:rPr>
                <w:b/>
                <w:bCs/>
                <w:sz w:val="20"/>
                <w:szCs w:val="20"/>
              </w:rPr>
            </w:pPr>
            <w:r w:rsidRPr="0075393E"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565" w:type="dxa"/>
            <w:shd w:val="clear" w:color="auto" w:fill="auto"/>
            <w:noWrap/>
            <w:vAlign w:val="center"/>
          </w:tcPr>
          <w:p w:rsidR="00BC1CD1" w:rsidRDefault="0056595A" w:rsidP="007539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75393E">
              <w:rPr>
                <w:b/>
                <w:bCs/>
                <w:sz w:val="20"/>
                <w:szCs w:val="20"/>
              </w:rPr>
              <w:t>42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75393E">
              <w:rPr>
                <w:b/>
                <w:bCs/>
                <w:sz w:val="20"/>
                <w:szCs w:val="20"/>
              </w:rPr>
              <w:t>779</w:t>
            </w:r>
          </w:p>
        </w:tc>
      </w:tr>
    </w:tbl>
    <w:p w:rsidR="00B67FA8" w:rsidRDefault="00B67FA8" w:rsidP="00E6163A">
      <w:pPr>
        <w:ind w:left="360"/>
        <w:jc w:val="both"/>
      </w:pPr>
    </w:p>
    <w:p w:rsidR="00861610" w:rsidRDefault="00861610" w:rsidP="00E6163A">
      <w:pPr>
        <w:ind w:left="360"/>
        <w:jc w:val="both"/>
      </w:pPr>
    </w:p>
    <w:p w:rsidR="007872C1" w:rsidRPr="00B45E1B" w:rsidRDefault="00E6163A" w:rsidP="00E558AB">
      <w:pPr>
        <w:numPr>
          <w:ilvl w:val="0"/>
          <w:numId w:val="7"/>
        </w:numPr>
        <w:jc w:val="both"/>
      </w:pPr>
      <w:r w:rsidRPr="00B45E1B">
        <w:t>A felügyeleti szervi támogatás zárolásával egyidejűl</w:t>
      </w:r>
      <w:r w:rsidR="00387469" w:rsidRPr="00B45E1B">
        <w:t xml:space="preserve">eg ugyan ezen intézmények </w:t>
      </w:r>
      <w:r w:rsidR="007872C1" w:rsidRPr="00B45E1B">
        <w:t xml:space="preserve">számára a fent hivatkozott rendelet 2. számú mellékletében meghatározott </w:t>
      </w:r>
      <w:r w:rsidR="00387469" w:rsidRPr="00B45E1B">
        <w:t xml:space="preserve">személyi juttatások </w:t>
      </w:r>
      <w:r w:rsidR="007872C1" w:rsidRPr="00B45E1B">
        <w:t>és munkaadókat terhelő járulékok</w:t>
      </w:r>
      <w:r w:rsidR="00387469" w:rsidRPr="00B45E1B">
        <w:t xml:space="preserve"> előirányzatait</w:t>
      </w:r>
      <w:r w:rsidRPr="00B45E1B">
        <w:t xml:space="preserve"> u</w:t>
      </w:r>
      <w:r w:rsidR="007872C1" w:rsidRPr="00B45E1B">
        <w:t>gyanekkora összeggel csökkenti</w:t>
      </w:r>
      <w:r w:rsidR="00861610">
        <w:t>, illetve növeli</w:t>
      </w:r>
      <w:r w:rsidR="007872C1" w:rsidRPr="00B45E1B">
        <w:t>.</w:t>
      </w:r>
    </w:p>
    <w:p w:rsidR="00E6163A" w:rsidRDefault="00E558AB" w:rsidP="00E558AB">
      <w:pPr>
        <w:numPr>
          <w:ilvl w:val="0"/>
          <w:numId w:val="7"/>
        </w:numPr>
        <w:jc w:val="both"/>
      </w:pPr>
      <w:r>
        <w:t>Békés Megye Képviselőtestülete</w:t>
      </w:r>
      <w:r w:rsidR="00387469" w:rsidRPr="00B45E1B">
        <w:t xml:space="preserve"> a zárolt összeget elrendeli behelyezni az Önkormányzati Hivatal 20</w:t>
      </w:r>
      <w:r w:rsidR="00B45E1B">
        <w:t>10</w:t>
      </w:r>
      <w:r w:rsidR="00387469" w:rsidRPr="00B45E1B">
        <w:t xml:space="preserve">. évi költségvetésében szereplő </w:t>
      </w:r>
      <w:r w:rsidR="00B45E1B">
        <w:t>intézményi kötelező feladatok ellátására</w:t>
      </w:r>
      <w:r w:rsidR="00387469" w:rsidRPr="00B45E1B">
        <w:t xml:space="preserve"> szolgáló tartalék előirányzatba. </w:t>
      </w:r>
      <w:r w:rsidR="00E6163A" w:rsidRPr="00B45E1B">
        <w:t>Ezen változások miatt az érintett intézmények 20</w:t>
      </w:r>
      <w:r w:rsidR="00B45E1B">
        <w:t>10</w:t>
      </w:r>
      <w:r w:rsidR="00E6163A" w:rsidRPr="00B45E1B">
        <w:t>. évi költségvetésének főösszege csökken</w:t>
      </w:r>
      <w:r w:rsidR="00861610">
        <w:t>, illetve nő</w:t>
      </w:r>
      <w:r w:rsidR="00E6163A" w:rsidRPr="00B45E1B">
        <w:t xml:space="preserve"> ezen előirányzatokkal.</w:t>
      </w:r>
    </w:p>
    <w:p w:rsidR="00915ADC" w:rsidRDefault="00915ADC" w:rsidP="00E6163A">
      <w:pPr>
        <w:ind w:left="360"/>
        <w:jc w:val="both"/>
      </w:pPr>
    </w:p>
    <w:p w:rsidR="008F0CE7" w:rsidRDefault="008F0CE7" w:rsidP="008F0CE7">
      <w:pPr>
        <w:ind w:left="360"/>
        <w:jc w:val="center"/>
        <w:rPr>
          <w:b/>
        </w:rPr>
      </w:pPr>
      <w:r w:rsidRPr="008F0CE7">
        <w:rPr>
          <w:b/>
        </w:rPr>
        <w:t>15. §</w:t>
      </w:r>
    </w:p>
    <w:p w:rsidR="008F0CE7" w:rsidRPr="008F0CE7" w:rsidRDefault="008F0CE7" w:rsidP="008F0CE7">
      <w:pPr>
        <w:ind w:left="360"/>
        <w:jc w:val="center"/>
        <w:rPr>
          <w:b/>
        </w:rPr>
      </w:pPr>
    </w:p>
    <w:p w:rsidR="00FD43A5" w:rsidRDefault="00FD43A5" w:rsidP="00FD43A5">
      <w:pPr>
        <w:pStyle w:val="Szvegtrzs"/>
      </w:pPr>
      <w:r>
        <w:t>E rendelet a kihirdetése napján lép hatályba.</w:t>
      </w:r>
    </w:p>
    <w:p w:rsidR="00542D9F" w:rsidRDefault="00542D9F" w:rsidP="00FD43A5">
      <w:pPr>
        <w:jc w:val="both"/>
      </w:pPr>
    </w:p>
    <w:p w:rsidR="00FD43A5" w:rsidRDefault="00636728" w:rsidP="00FD43A5">
      <w:pPr>
        <w:jc w:val="both"/>
        <w:rPr>
          <w:b/>
        </w:rPr>
      </w:pPr>
      <w:r>
        <w:rPr>
          <w:b/>
        </w:rPr>
        <w:t>Békéscsaba, 20</w:t>
      </w:r>
      <w:r w:rsidR="005974F4">
        <w:rPr>
          <w:b/>
        </w:rPr>
        <w:t>10</w:t>
      </w:r>
      <w:r>
        <w:rPr>
          <w:b/>
        </w:rPr>
        <w:t xml:space="preserve">. április </w:t>
      </w:r>
      <w:r w:rsidR="005974F4">
        <w:rPr>
          <w:b/>
        </w:rPr>
        <w:t>30</w:t>
      </w:r>
      <w:r w:rsidR="00FD43A5">
        <w:rPr>
          <w:b/>
        </w:rPr>
        <w:t>.</w:t>
      </w:r>
    </w:p>
    <w:p w:rsidR="00FD43A5" w:rsidRDefault="00FD43A5" w:rsidP="00FD43A5">
      <w:pPr>
        <w:jc w:val="both"/>
        <w:rPr>
          <w:b/>
        </w:rPr>
      </w:pP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  <w:t>Domokos László sk.</w:t>
      </w:r>
      <w:r>
        <w:rPr>
          <w:b/>
        </w:rPr>
        <w:tab/>
        <w:t xml:space="preserve">Dr. </w:t>
      </w:r>
      <w:r w:rsidR="005974F4">
        <w:rPr>
          <w:b/>
        </w:rPr>
        <w:t xml:space="preserve">Dávid Sándor </w:t>
      </w:r>
      <w:r>
        <w:rPr>
          <w:b/>
        </w:rPr>
        <w:t>sk.</w:t>
      </w: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  <w:t>elnök</w:t>
      </w:r>
      <w:r>
        <w:rPr>
          <w:b/>
        </w:rPr>
        <w:tab/>
        <w:t>főjegyző</w:t>
      </w: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</w:rPr>
      </w:pP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  <w:u w:val="single"/>
        </w:rPr>
      </w:pPr>
      <w:r>
        <w:rPr>
          <w:b/>
          <w:u w:val="single"/>
        </w:rPr>
        <w:t>Kihirdetési záradék:</w:t>
      </w:r>
    </w:p>
    <w:p w:rsidR="001C363F" w:rsidRDefault="001C363F" w:rsidP="00FD43A5">
      <w:pPr>
        <w:tabs>
          <w:tab w:val="center" w:pos="1440"/>
          <w:tab w:val="center" w:pos="7740"/>
        </w:tabs>
        <w:jc w:val="both"/>
        <w:rPr>
          <w:b/>
          <w:u w:val="single"/>
        </w:rPr>
      </w:pP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>A rendelet kihi</w:t>
      </w:r>
      <w:r w:rsidR="00636728">
        <w:rPr>
          <w:b/>
        </w:rPr>
        <w:t>rdetésre került 20</w:t>
      </w:r>
      <w:r w:rsidR="005974F4">
        <w:rPr>
          <w:b/>
        </w:rPr>
        <w:t>10</w:t>
      </w:r>
      <w:r w:rsidR="00636728">
        <w:rPr>
          <w:b/>
        </w:rPr>
        <w:t xml:space="preserve">. április </w:t>
      </w:r>
      <w:r w:rsidR="005974F4">
        <w:rPr>
          <w:b/>
        </w:rPr>
        <w:t>30</w:t>
      </w:r>
      <w:r>
        <w:rPr>
          <w:b/>
        </w:rPr>
        <w:t>-</w:t>
      </w:r>
      <w:r w:rsidR="005974F4">
        <w:rPr>
          <w:b/>
        </w:rPr>
        <w:t>á</w:t>
      </w:r>
      <w:r>
        <w:rPr>
          <w:b/>
        </w:rPr>
        <w:t>n.</w:t>
      </w:r>
    </w:p>
    <w:p w:rsidR="00FD43A5" w:rsidRDefault="00FD43A5" w:rsidP="00FD43A5">
      <w:pPr>
        <w:tabs>
          <w:tab w:val="center" w:pos="1440"/>
          <w:tab w:val="center" w:pos="7740"/>
        </w:tabs>
        <w:jc w:val="both"/>
        <w:rPr>
          <w:b/>
        </w:rPr>
      </w:pPr>
    </w:p>
    <w:p w:rsidR="00FD43A5" w:rsidRDefault="00573CDE" w:rsidP="00FD43A5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="00FD43A5">
        <w:rPr>
          <w:b/>
        </w:rPr>
        <w:t xml:space="preserve">Dr. </w:t>
      </w:r>
      <w:r w:rsidR="005974F4">
        <w:rPr>
          <w:b/>
        </w:rPr>
        <w:t>Dávid Sándor</w:t>
      </w:r>
      <w:r w:rsidR="00FD43A5">
        <w:rPr>
          <w:b/>
        </w:rPr>
        <w:t xml:space="preserve"> sk.</w:t>
      </w:r>
    </w:p>
    <w:p w:rsidR="00FD43A5" w:rsidRDefault="00590321" w:rsidP="0040360F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="00FD43A5">
        <w:rPr>
          <w:b/>
        </w:rPr>
        <w:t>főjegyző</w:t>
      </w:r>
    </w:p>
    <w:p w:rsidR="0037640D" w:rsidRDefault="0037640D" w:rsidP="0040360F">
      <w:pPr>
        <w:tabs>
          <w:tab w:val="center" w:pos="1440"/>
          <w:tab w:val="center" w:pos="7740"/>
        </w:tabs>
        <w:jc w:val="both"/>
        <w:rPr>
          <w:b/>
        </w:rPr>
      </w:pPr>
    </w:p>
    <w:p w:rsidR="0037640D" w:rsidRPr="0040360F" w:rsidRDefault="0037640D" w:rsidP="0040360F">
      <w:pPr>
        <w:tabs>
          <w:tab w:val="center" w:pos="1440"/>
          <w:tab w:val="center" w:pos="7740"/>
        </w:tabs>
        <w:jc w:val="both"/>
        <w:rPr>
          <w:b/>
        </w:rPr>
      </w:pPr>
      <w:r>
        <w:rPr>
          <w:b/>
        </w:rPr>
        <w:t>A kivonat hiteléül:</w:t>
      </w:r>
    </w:p>
    <w:sectPr w:rsidR="0037640D" w:rsidRPr="0040360F" w:rsidSect="0037640D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DE3" w:rsidRDefault="00712DE3">
      <w:r>
        <w:separator/>
      </w:r>
    </w:p>
  </w:endnote>
  <w:endnote w:type="continuationSeparator" w:id="1">
    <w:p w:rsidR="00712DE3" w:rsidRDefault="00712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A5" w:rsidRDefault="006121A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121A5" w:rsidRDefault="006121A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C1" w:rsidRDefault="00196EC1">
    <w:pPr>
      <w:pStyle w:val="llb"/>
      <w:jc w:val="center"/>
    </w:pPr>
    <w:fldSimple w:instr=" PAGE   \* MERGEFORMAT ">
      <w:r w:rsidR="0037640D">
        <w:rPr>
          <w:noProof/>
        </w:rPr>
        <w:t>4</w:t>
      </w:r>
    </w:fldSimple>
  </w:p>
  <w:p w:rsidR="00196EC1" w:rsidRDefault="00196EC1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C1" w:rsidRDefault="00196EC1">
    <w:pPr>
      <w:pStyle w:val="llb"/>
      <w:jc w:val="center"/>
    </w:pPr>
    <w:fldSimple w:instr=" PAGE   \* MERGEFORMAT ">
      <w:r w:rsidR="0037640D">
        <w:rPr>
          <w:noProof/>
        </w:rPr>
        <w:t>1</w:t>
      </w:r>
    </w:fldSimple>
  </w:p>
  <w:p w:rsidR="00196EC1" w:rsidRDefault="00196EC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DE3" w:rsidRDefault="00712DE3">
      <w:r>
        <w:separator/>
      </w:r>
    </w:p>
  </w:footnote>
  <w:footnote w:type="continuationSeparator" w:id="1">
    <w:p w:rsidR="00712DE3" w:rsidRDefault="00712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A5" w:rsidRDefault="006121A5" w:rsidP="00FD43A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121A5" w:rsidRDefault="006121A5">
    <w:pPr>
      <w:pStyle w:val="lfej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A5" w:rsidRDefault="006121A5" w:rsidP="00FD43A5">
    <w:pPr>
      <w:pStyle w:val="lfej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504"/>
    <w:multiLevelType w:val="hybridMultilevel"/>
    <w:tmpl w:val="55785422"/>
    <w:lvl w:ilvl="0" w:tplc="EF34203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9268DA"/>
    <w:multiLevelType w:val="hybridMultilevel"/>
    <w:tmpl w:val="A58090E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9E4A9A"/>
    <w:multiLevelType w:val="hybridMultilevel"/>
    <w:tmpl w:val="C1823B1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CA22C2"/>
    <w:multiLevelType w:val="hybridMultilevel"/>
    <w:tmpl w:val="3E1C051E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B09DC"/>
    <w:multiLevelType w:val="hybridMultilevel"/>
    <w:tmpl w:val="332447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E2753E"/>
    <w:multiLevelType w:val="hybridMultilevel"/>
    <w:tmpl w:val="2CF8851E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745C2B"/>
    <w:multiLevelType w:val="hybridMultilevel"/>
    <w:tmpl w:val="6A3E4B62"/>
    <w:lvl w:ilvl="0" w:tplc="21423B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093055"/>
    <w:multiLevelType w:val="hybridMultilevel"/>
    <w:tmpl w:val="EB8AC79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3A5"/>
    <w:rsid w:val="00013BD4"/>
    <w:rsid w:val="00016FFA"/>
    <w:rsid w:val="0004206B"/>
    <w:rsid w:val="000715D2"/>
    <w:rsid w:val="0007176F"/>
    <w:rsid w:val="00085688"/>
    <w:rsid w:val="0009438E"/>
    <w:rsid w:val="00106D84"/>
    <w:rsid w:val="001364C2"/>
    <w:rsid w:val="00145DB6"/>
    <w:rsid w:val="00196EC1"/>
    <w:rsid w:val="001C363F"/>
    <w:rsid w:val="001E140B"/>
    <w:rsid w:val="001F643F"/>
    <w:rsid w:val="002B5003"/>
    <w:rsid w:val="002E7854"/>
    <w:rsid w:val="002F1D10"/>
    <w:rsid w:val="00312087"/>
    <w:rsid w:val="00315C06"/>
    <w:rsid w:val="003217DD"/>
    <w:rsid w:val="0032756A"/>
    <w:rsid w:val="00327CFB"/>
    <w:rsid w:val="0037640D"/>
    <w:rsid w:val="00387469"/>
    <w:rsid w:val="003D37E8"/>
    <w:rsid w:val="003F7142"/>
    <w:rsid w:val="0040360F"/>
    <w:rsid w:val="00414410"/>
    <w:rsid w:val="004429AD"/>
    <w:rsid w:val="00465D92"/>
    <w:rsid w:val="00467CFC"/>
    <w:rsid w:val="00472EFA"/>
    <w:rsid w:val="004B346A"/>
    <w:rsid w:val="004D025D"/>
    <w:rsid w:val="004D0F5A"/>
    <w:rsid w:val="004D25D6"/>
    <w:rsid w:val="004D7E11"/>
    <w:rsid w:val="00500C5C"/>
    <w:rsid w:val="005025D2"/>
    <w:rsid w:val="00531629"/>
    <w:rsid w:val="0053709A"/>
    <w:rsid w:val="00542D9F"/>
    <w:rsid w:val="00557A2B"/>
    <w:rsid w:val="0056595A"/>
    <w:rsid w:val="00573CDE"/>
    <w:rsid w:val="00587B48"/>
    <w:rsid w:val="00590321"/>
    <w:rsid w:val="005974F4"/>
    <w:rsid w:val="005B3BCE"/>
    <w:rsid w:val="005B747C"/>
    <w:rsid w:val="005E6678"/>
    <w:rsid w:val="006022A8"/>
    <w:rsid w:val="006121A5"/>
    <w:rsid w:val="00614878"/>
    <w:rsid w:val="00634396"/>
    <w:rsid w:val="00636728"/>
    <w:rsid w:val="0064105F"/>
    <w:rsid w:val="00660D93"/>
    <w:rsid w:val="006C4BC1"/>
    <w:rsid w:val="006C54EE"/>
    <w:rsid w:val="006C67C8"/>
    <w:rsid w:val="006D148D"/>
    <w:rsid w:val="006D7846"/>
    <w:rsid w:val="006F6CC2"/>
    <w:rsid w:val="00712DE3"/>
    <w:rsid w:val="0071609B"/>
    <w:rsid w:val="0075393E"/>
    <w:rsid w:val="00761460"/>
    <w:rsid w:val="007701BB"/>
    <w:rsid w:val="00776440"/>
    <w:rsid w:val="007838CC"/>
    <w:rsid w:val="007872C1"/>
    <w:rsid w:val="00802BEA"/>
    <w:rsid w:val="00822390"/>
    <w:rsid w:val="00861610"/>
    <w:rsid w:val="00881CAD"/>
    <w:rsid w:val="008A1160"/>
    <w:rsid w:val="008A15D7"/>
    <w:rsid w:val="008F0CE7"/>
    <w:rsid w:val="00915ADC"/>
    <w:rsid w:val="00917AE4"/>
    <w:rsid w:val="0092118B"/>
    <w:rsid w:val="00944635"/>
    <w:rsid w:val="00980F3A"/>
    <w:rsid w:val="00985A7D"/>
    <w:rsid w:val="00987AC1"/>
    <w:rsid w:val="009A63E7"/>
    <w:rsid w:val="009A6BEB"/>
    <w:rsid w:val="009B66ED"/>
    <w:rsid w:val="009C2476"/>
    <w:rsid w:val="00A40775"/>
    <w:rsid w:val="00A511DF"/>
    <w:rsid w:val="00B15591"/>
    <w:rsid w:val="00B20215"/>
    <w:rsid w:val="00B45E1B"/>
    <w:rsid w:val="00B67FA8"/>
    <w:rsid w:val="00BC1CD1"/>
    <w:rsid w:val="00C0052E"/>
    <w:rsid w:val="00C115AE"/>
    <w:rsid w:val="00C1262F"/>
    <w:rsid w:val="00C35C9B"/>
    <w:rsid w:val="00C478CF"/>
    <w:rsid w:val="00C508D7"/>
    <w:rsid w:val="00C50988"/>
    <w:rsid w:val="00CE5C30"/>
    <w:rsid w:val="00CE701A"/>
    <w:rsid w:val="00CE75F0"/>
    <w:rsid w:val="00CF2D65"/>
    <w:rsid w:val="00D04573"/>
    <w:rsid w:val="00D04A39"/>
    <w:rsid w:val="00D05ADD"/>
    <w:rsid w:val="00D15D88"/>
    <w:rsid w:val="00D52B3C"/>
    <w:rsid w:val="00D95D39"/>
    <w:rsid w:val="00DA07C7"/>
    <w:rsid w:val="00DA6F6C"/>
    <w:rsid w:val="00DE01AF"/>
    <w:rsid w:val="00DE4606"/>
    <w:rsid w:val="00DE6697"/>
    <w:rsid w:val="00E558AB"/>
    <w:rsid w:val="00E6163A"/>
    <w:rsid w:val="00EB474A"/>
    <w:rsid w:val="00F132DA"/>
    <w:rsid w:val="00F660ED"/>
    <w:rsid w:val="00FB52BB"/>
    <w:rsid w:val="00FD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43A5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rsid w:val="00FD43A5"/>
    <w:pPr>
      <w:jc w:val="center"/>
    </w:pPr>
    <w:rPr>
      <w:b/>
      <w:bCs/>
      <w:sz w:val="28"/>
    </w:rPr>
  </w:style>
  <w:style w:type="paragraph" w:styleId="Szvegtrzs">
    <w:name w:val="Body Text"/>
    <w:basedOn w:val="Norml"/>
    <w:rsid w:val="00FD43A5"/>
    <w:pPr>
      <w:jc w:val="both"/>
    </w:pPr>
  </w:style>
  <w:style w:type="paragraph" w:styleId="Szvegtrzs2">
    <w:name w:val="Body Text 2"/>
    <w:basedOn w:val="Norml"/>
    <w:rsid w:val="00FD43A5"/>
    <w:pPr>
      <w:tabs>
        <w:tab w:val="right" w:pos="8820"/>
      </w:tabs>
      <w:ind w:right="3492"/>
      <w:jc w:val="both"/>
    </w:pPr>
  </w:style>
  <w:style w:type="paragraph" w:styleId="llb">
    <w:name w:val="footer"/>
    <w:basedOn w:val="Norml"/>
    <w:link w:val="llbChar"/>
    <w:uiPriority w:val="99"/>
    <w:rsid w:val="00FD43A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D43A5"/>
  </w:style>
  <w:style w:type="paragraph" w:styleId="lfej">
    <w:name w:val="header"/>
    <w:basedOn w:val="Norml"/>
    <w:rsid w:val="00FD43A5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881CAD"/>
    <w:rPr>
      <w:rFonts w:ascii="Tahoma" w:hAnsi="Tahoma" w:cs="Tahoma"/>
      <w:sz w:val="16"/>
      <w:szCs w:val="16"/>
    </w:rPr>
  </w:style>
  <w:style w:type="character" w:customStyle="1" w:styleId="llbChar">
    <w:name w:val="Élőláb Char"/>
    <w:basedOn w:val="Bekezdsalapbettpusa"/>
    <w:link w:val="llb"/>
    <w:uiPriority w:val="99"/>
    <w:rsid w:val="00196E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1524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Békés Megye Képviselő-testületének</vt:lpstr>
    </vt:vector>
  </TitlesOfParts>
  <Company/>
  <LinksUpToDate>false</LinksUpToDate>
  <CharactersWithSpaces>12021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Békés Megye Képviselő-testületének</dc:title>
  <dc:subject/>
  <dc:creator>Békés Megyei Önkormányzat</dc:creator>
  <cp:keywords/>
  <dc:description/>
  <cp:lastModifiedBy> </cp:lastModifiedBy>
  <cp:revision>2</cp:revision>
  <cp:lastPrinted>2010-04-21T14:14:00Z</cp:lastPrinted>
  <dcterms:created xsi:type="dcterms:W3CDTF">2010-05-07T11:57:00Z</dcterms:created>
  <dcterms:modified xsi:type="dcterms:W3CDTF">2010-05-07T11:57:00Z</dcterms:modified>
</cp:coreProperties>
</file>